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899FE" w14:textId="5B0099F7" w:rsidR="00F62781" w:rsidRPr="008A3D71" w:rsidRDefault="00F62781" w:rsidP="00F62781">
      <w:pPr>
        <w:jc w:val="center"/>
        <w:rPr>
          <w:rFonts w:ascii="Century Gothic" w:hAnsi="Century Gothic"/>
          <w:b/>
          <w:bCs/>
          <w:sz w:val="22"/>
          <w:szCs w:val="20"/>
        </w:rPr>
      </w:pPr>
      <w:r w:rsidRPr="008A3D71">
        <w:rPr>
          <w:rFonts w:ascii="Century Gothic" w:hAnsi="Century Gothic"/>
          <w:b/>
          <w:bCs/>
          <w:sz w:val="22"/>
          <w:szCs w:val="20"/>
        </w:rPr>
        <w:t>Estudio No. 1</w:t>
      </w:r>
      <w:r w:rsidR="00030E63" w:rsidRPr="008A3D71">
        <w:rPr>
          <w:rFonts w:ascii="Century Gothic" w:hAnsi="Century Gothic"/>
          <w:b/>
          <w:bCs/>
          <w:sz w:val="22"/>
          <w:szCs w:val="20"/>
        </w:rPr>
        <w:t>1</w:t>
      </w:r>
      <w:r w:rsidRPr="008A3D71">
        <w:rPr>
          <w:rFonts w:ascii="Century Gothic" w:hAnsi="Century Gothic"/>
          <w:b/>
          <w:bCs/>
          <w:sz w:val="22"/>
          <w:szCs w:val="20"/>
        </w:rPr>
        <w:t>-2021</w:t>
      </w:r>
    </w:p>
    <w:p w14:paraId="6B6F1979" w14:textId="6710CAB4" w:rsidR="00F62781" w:rsidRPr="008A3D71" w:rsidRDefault="008A3D71" w:rsidP="00F62781">
      <w:pPr>
        <w:jc w:val="center"/>
        <w:rPr>
          <w:rFonts w:ascii="Century Gothic" w:hAnsi="Century Gothic"/>
          <w:b/>
          <w:sz w:val="22"/>
          <w:szCs w:val="20"/>
        </w:rPr>
      </w:pPr>
      <w:r w:rsidRPr="008A3D71">
        <w:rPr>
          <w:rFonts w:ascii="Century Gothic" w:hAnsi="Century Gothic"/>
          <w:b/>
          <w:sz w:val="22"/>
          <w:szCs w:val="20"/>
        </w:rPr>
        <w:t>Trámites de pensión por invalidez y sobrevivencia del RCC</w:t>
      </w:r>
    </w:p>
    <w:p w14:paraId="0A3D3828" w14:textId="77777777" w:rsidR="008A3D71" w:rsidRPr="008A3D71" w:rsidRDefault="008A3D71" w:rsidP="00F62781">
      <w:pPr>
        <w:jc w:val="center"/>
        <w:rPr>
          <w:rFonts w:ascii="Century Gothic" w:hAnsi="Century Gothic"/>
          <w:b/>
          <w:bCs/>
          <w:sz w:val="22"/>
          <w:szCs w:val="20"/>
        </w:rPr>
      </w:pPr>
    </w:p>
    <w:p w14:paraId="21248FD9" w14:textId="77777777" w:rsidR="008A3D71" w:rsidRPr="008A3D71" w:rsidRDefault="008A3D71" w:rsidP="008A3D71">
      <w:pPr>
        <w:numPr>
          <w:ilvl w:val="0"/>
          <w:numId w:val="16"/>
        </w:numPr>
        <w:ind w:left="284" w:right="473" w:hanging="284"/>
        <w:rPr>
          <w:rFonts w:ascii="Century Gothic" w:hAnsi="Century Gothic"/>
          <w:b/>
          <w:sz w:val="22"/>
          <w:szCs w:val="22"/>
        </w:rPr>
      </w:pPr>
      <w:r w:rsidRPr="008A3D71">
        <w:rPr>
          <w:rFonts w:ascii="Century Gothic" w:hAnsi="Century Gothic"/>
          <w:b/>
          <w:sz w:val="22"/>
          <w:szCs w:val="22"/>
        </w:rPr>
        <w:t>Alcance</w:t>
      </w:r>
    </w:p>
    <w:p w14:paraId="12AF3CB2" w14:textId="77777777" w:rsidR="008A3D71" w:rsidRPr="008A3D71" w:rsidRDefault="008A3D71" w:rsidP="008A3D71">
      <w:pPr>
        <w:jc w:val="both"/>
        <w:rPr>
          <w:rFonts w:ascii="Century Gothic" w:hAnsi="Century Gothic"/>
          <w:sz w:val="22"/>
          <w:szCs w:val="22"/>
          <w:lang w:val="es-MX"/>
        </w:rPr>
      </w:pPr>
      <w:r w:rsidRPr="008A3D71">
        <w:rPr>
          <w:rFonts w:ascii="Century Gothic" w:hAnsi="Century Gothic"/>
          <w:bCs/>
          <w:sz w:val="22"/>
          <w:szCs w:val="22"/>
        </w:rPr>
        <w:t>Revisar el trámite y resolución de los trámites de pensión por invalidez y sobrevivencia del Régimen de Capitalización Colectiva (RCC), presentados del 01/01/2020 al 18/11/2020.</w:t>
      </w:r>
    </w:p>
    <w:p w14:paraId="67B8295E" w14:textId="77777777" w:rsidR="008A3D71" w:rsidRPr="008A3D71" w:rsidRDefault="008A3D71" w:rsidP="008A3D71">
      <w:pPr>
        <w:ind w:firstLine="709"/>
        <w:rPr>
          <w:rFonts w:ascii="Century Gothic" w:hAnsi="Century Gothic"/>
          <w:sz w:val="22"/>
          <w:szCs w:val="22"/>
          <w:lang w:val="es-MX"/>
        </w:rPr>
      </w:pPr>
    </w:p>
    <w:p w14:paraId="1F17D78A" w14:textId="77777777" w:rsidR="008A3D71" w:rsidRPr="008A3D71" w:rsidRDefault="008A3D71" w:rsidP="008A3D71">
      <w:pPr>
        <w:ind w:firstLine="709"/>
        <w:rPr>
          <w:rFonts w:ascii="Century Gothic" w:hAnsi="Century Gothic"/>
          <w:sz w:val="22"/>
          <w:szCs w:val="22"/>
          <w:lang w:val="es-MX"/>
        </w:rPr>
      </w:pPr>
    </w:p>
    <w:p w14:paraId="70B47B2F" w14:textId="77777777" w:rsidR="008A3D71" w:rsidRPr="008A3D71" w:rsidRDefault="008A3D71" w:rsidP="008A3D71">
      <w:pPr>
        <w:numPr>
          <w:ilvl w:val="0"/>
          <w:numId w:val="16"/>
        </w:numPr>
        <w:ind w:left="284" w:right="473" w:hanging="284"/>
        <w:rPr>
          <w:rFonts w:ascii="Century Gothic" w:hAnsi="Century Gothic"/>
          <w:b/>
          <w:sz w:val="22"/>
          <w:szCs w:val="22"/>
        </w:rPr>
      </w:pPr>
      <w:r w:rsidRPr="008A3D71">
        <w:rPr>
          <w:rFonts w:ascii="Century Gothic" w:hAnsi="Century Gothic"/>
          <w:b/>
          <w:sz w:val="22"/>
          <w:szCs w:val="22"/>
        </w:rPr>
        <w:t>Objetivos</w:t>
      </w:r>
    </w:p>
    <w:p w14:paraId="56E6A0CD" w14:textId="77777777" w:rsidR="008A3D71" w:rsidRPr="008A3D71" w:rsidRDefault="008A3D71" w:rsidP="008A3D71">
      <w:pPr>
        <w:pStyle w:val="Prrafodelista"/>
        <w:numPr>
          <w:ilvl w:val="0"/>
          <w:numId w:val="23"/>
        </w:numPr>
        <w:ind w:left="284" w:right="49" w:hanging="284"/>
        <w:jc w:val="both"/>
        <w:rPr>
          <w:rFonts w:ascii="Century Gothic" w:hAnsi="Century Gothic"/>
          <w:sz w:val="22"/>
          <w:szCs w:val="22"/>
          <w:lang w:val="es-CR" w:eastAsia="es-CR"/>
        </w:rPr>
      </w:pPr>
      <w:r w:rsidRPr="008A3D71">
        <w:rPr>
          <w:rFonts w:ascii="Century Gothic" w:hAnsi="Century Gothic"/>
          <w:sz w:val="22"/>
          <w:szCs w:val="22"/>
          <w:lang w:val="es-CR" w:eastAsia="es-CR"/>
        </w:rPr>
        <w:t>Constatar la exactitud, integridad y consistencia de la información incluida para los casos por invalidez y sobrevivencia en el Sistema de ‘Servicio al Cliente RCC’.</w:t>
      </w:r>
    </w:p>
    <w:p w14:paraId="68B3B382" w14:textId="77777777" w:rsidR="008A3D71" w:rsidRPr="008A3D71" w:rsidRDefault="008A3D71" w:rsidP="008A3D71">
      <w:pPr>
        <w:pStyle w:val="Prrafodelista"/>
        <w:ind w:left="284" w:right="49"/>
        <w:jc w:val="both"/>
        <w:rPr>
          <w:rFonts w:ascii="Century Gothic" w:hAnsi="Century Gothic"/>
          <w:sz w:val="22"/>
          <w:szCs w:val="22"/>
          <w:lang w:val="es-CR" w:eastAsia="es-CR"/>
        </w:rPr>
      </w:pPr>
    </w:p>
    <w:p w14:paraId="50FA76AA" w14:textId="77777777" w:rsidR="008A3D71" w:rsidRPr="008A3D71" w:rsidRDefault="008A3D71" w:rsidP="008A3D71">
      <w:pPr>
        <w:pStyle w:val="Prrafodelista"/>
        <w:numPr>
          <w:ilvl w:val="0"/>
          <w:numId w:val="23"/>
        </w:numPr>
        <w:ind w:left="284" w:right="49" w:hanging="284"/>
        <w:jc w:val="both"/>
        <w:rPr>
          <w:rFonts w:ascii="Century Gothic" w:hAnsi="Century Gothic"/>
          <w:sz w:val="22"/>
          <w:szCs w:val="22"/>
          <w:lang w:val="es-CR" w:eastAsia="es-CR"/>
        </w:rPr>
      </w:pPr>
      <w:r w:rsidRPr="008A3D71">
        <w:rPr>
          <w:rFonts w:ascii="Century Gothic" w:hAnsi="Century Gothic"/>
          <w:sz w:val="22"/>
          <w:szCs w:val="22"/>
          <w:lang w:val="es-CR" w:eastAsia="es-CR"/>
        </w:rPr>
        <w:t>Constatar las actividades y controles aplicados en la determinación y recuperación de sumas giradas de más.</w:t>
      </w:r>
    </w:p>
    <w:p w14:paraId="33A73BF0" w14:textId="77777777" w:rsidR="008A3D71" w:rsidRPr="008A3D71" w:rsidRDefault="008A3D71" w:rsidP="008A3D71">
      <w:pPr>
        <w:pStyle w:val="Prrafodelista"/>
        <w:ind w:left="284" w:right="49"/>
        <w:jc w:val="both"/>
        <w:rPr>
          <w:rFonts w:ascii="Century Gothic" w:hAnsi="Century Gothic"/>
          <w:sz w:val="18"/>
          <w:szCs w:val="18"/>
          <w:lang w:val="es-CR" w:eastAsia="es-CR"/>
        </w:rPr>
      </w:pPr>
    </w:p>
    <w:p w14:paraId="31B33A68" w14:textId="77777777" w:rsidR="008A3D71" w:rsidRPr="008A3D71" w:rsidRDefault="008A3D71" w:rsidP="008A3D71">
      <w:pPr>
        <w:pStyle w:val="Prrafodelista"/>
        <w:numPr>
          <w:ilvl w:val="0"/>
          <w:numId w:val="23"/>
        </w:numPr>
        <w:ind w:left="284" w:right="471" w:hanging="284"/>
        <w:jc w:val="both"/>
        <w:rPr>
          <w:rFonts w:ascii="Century Gothic" w:hAnsi="Century Gothic"/>
          <w:b/>
          <w:sz w:val="20"/>
          <w:szCs w:val="20"/>
        </w:rPr>
      </w:pPr>
      <w:r w:rsidRPr="008A3D71">
        <w:rPr>
          <w:rFonts w:ascii="Century Gothic" w:hAnsi="Century Gothic"/>
          <w:sz w:val="22"/>
          <w:szCs w:val="22"/>
          <w:lang w:val="es-CR" w:eastAsia="es-CR"/>
        </w:rPr>
        <w:t>Validar el cumplimiento de la normativa interna aplicable a la resolución de los trámites de pensión y sobrevivencia del RCC.</w:t>
      </w:r>
    </w:p>
    <w:p w14:paraId="43D487EA" w14:textId="77777777" w:rsidR="008A3D71" w:rsidRPr="008A3D71" w:rsidRDefault="008A3D71" w:rsidP="008A3D71">
      <w:pPr>
        <w:pStyle w:val="Prrafodelista"/>
        <w:rPr>
          <w:rFonts w:ascii="Century Gothic" w:hAnsi="Century Gothic"/>
          <w:b/>
          <w:sz w:val="20"/>
          <w:szCs w:val="20"/>
        </w:rPr>
      </w:pPr>
    </w:p>
    <w:p w14:paraId="4B6EF792" w14:textId="77777777" w:rsidR="008A3D71" w:rsidRPr="008A3D71" w:rsidRDefault="008A3D71" w:rsidP="008A3D71">
      <w:pPr>
        <w:ind w:right="471"/>
        <w:rPr>
          <w:rFonts w:ascii="Century Gothic" w:hAnsi="Century Gothic"/>
          <w:b/>
          <w:sz w:val="20"/>
          <w:szCs w:val="20"/>
        </w:rPr>
      </w:pPr>
    </w:p>
    <w:p w14:paraId="7B1C7487" w14:textId="77777777" w:rsidR="008A3D71" w:rsidRPr="008A3D71" w:rsidRDefault="008A3D71" w:rsidP="008A3D71">
      <w:pPr>
        <w:numPr>
          <w:ilvl w:val="0"/>
          <w:numId w:val="16"/>
        </w:numPr>
        <w:ind w:left="284" w:right="473" w:hanging="284"/>
        <w:rPr>
          <w:rFonts w:ascii="Century Gothic" w:hAnsi="Century Gothic"/>
          <w:b/>
          <w:sz w:val="22"/>
          <w:szCs w:val="22"/>
        </w:rPr>
      </w:pPr>
      <w:r w:rsidRPr="008A3D71">
        <w:rPr>
          <w:rFonts w:ascii="Century Gothic" w:hAnsi="Century Gothic"/>
          <w:b/>
          <w:sz w:val="22"/>
          <w:szCs w:val="22"/>
        </w:rPr>
        <w:t>Resultados Obtenidos</w:t>
      </w:r>
    </w:p>
    <w:p w14:paraId="0DAF4CBE" w14:textId="77777777" w:rsidR="008A3D71" w:rsidRPr="008A3D71" w:rsidRDefault="008A3D71" w:rsidP="008A3D71">
      <w:pPr>
        <w:jc w:val="both"/>
        <w:rPr>
          <w:rFonts w:ascii="Century Gothic" w:hAnsi="Century Gothic"/>
          <w:iCs/>
          <w:sz w:val="22"/>
          <w:szCs w:val="22"/>
          <w:lang w:val="es-MX"/>
        </w:rPr>
      </w:pPr>
      <w:r w:rsidRPr="008A3D71">
        <w:rPr>
          <w:rFonts w:ascii="Century Gothic" w:hAnsi="Century Gothic"/>
          <w:iCs/>
          <w:sz w:val="22"/>
          <w:szCs w:val="22"/>
          <w:lang w:val="es-MX"/>
        </w:rPr>
        <w:t>De conformidad con los objetivos planteados para esta revisión, se concluye lo siguiente:</w:t>
      </w:r>
    </w:p>
    <w:p w14:paraId="191FC581" w14:textId="77777777" w:rsidR="008A3D71" w:rsidRPr="008A3D71" w:rsidRDefault="008A3D71" w:rsidP="008A3D71">
      <w:pPr>
        <w:jc w:val="both"/>
        <w:rPr>
          <w:rFonts w:ascii="Century Gothic" w:hAnsi="Century Gothic"/>
          <w:iCs/>
          <w:sz w:val="18"/>
          <w:szCs w:val="18"/>
          <w:lang w:val="es-MX"/>
        </w:rPr>
      </w:pPr>
    </w:p>
    <w:p w14:paraId="72E8AD58" w14:textId="77777777" w:rsidR="008A3D71" w:rsidRPr="00112B45" w:rsidRDefault="008A3D71" w:rsidP="008A3D71">
      <w:pPr>
        <w:pStyle w:val="Prrafodelista"/>
        <w:numPr>
          <w:ilvl w:val="0"/>
          <w:numId w:val="24"/>
        </w:numPr>
        <w:ind w:right="49"/>
        <w:contextualSpacing/>
        <w:jc w:val="both"/>
        <w:rPr>
          <w:rFonts w:ascii="Century Gothic" w:hAnsi="Century Gothic"/>
          <w:sz w:val="22"/>
          <w:szCs w:val="22"/>
        </w:rPr>
      </w:pPr>
      <w:r w:rsidRPr="00112B45">
        <w:rPr>
          <w:rFonts w:ascii="Century Gothic" w:hAnsi="Century Gothic"/>
          <w:sz w:val="22"/>
          <w:szCs w:val="22"/>
        </w:rPr>
        <w:t>Para constatar la exactitud e integridad de la información, se revisaron expedientes físicos, digitales y la consistencia de los datos incluidos en los sistemas y se determinaron aspectos de mejora relacionados con el registro de la información, los cuales fueron dadas a conocer a la Administración para su valoración.</w:t>
      </w:r>
    </w:p>
    <w:p w14:paraId="634EEDBF" w14:textId="77777777" w:rsidR="008A3D71" w:rsidRPr="00112B45" w:rsidRDefault="008A3D71" w:rsidP="008A3D71">
      <w:pPr>
        <w:ind w:right="49"/>
        <w:jc w:val="both"/>
        <w:rPr>
          <w:rFonts w:ascii="Century Gothic" w:hAnsi="Century Gothic"/>
          <w:sz w:val="22"/>
          <w:szCs w:val="22"/>
        </w:rPr>
      </w:pPr>
    </w:p>
    <w:p w14:paraId="66039E10" w14:textId="77777777" w:rsidR="008A3D71" w:rsidRPr="00112B45" w:rsidRDefault="008A3D71" w:rsidP="008A3D71">
      <w:pPr>
        <w:pStyle w:val="Prrafodelista"/>
        <w:numPr>
          <w:ilvl w:val="0"/>
          <w:numId w:val="24"/>
        </w:numPr>
        <w:ind w:right="49"/>
        <w:contextualSpacing/>
        <w:jc w:val="both"/>
        <w:rPr>
          <w:rFonts w:ascii="Century Gothic" w:hAnsi="Century Gothic"/>
          <w:sz w:val="22"/>
          <w:szCs w:val="22"/>
        </w:rPr>
      </w:pPr>
      <w:r w:rsidRPr="005240EB">
        <w:rPr>
          <w:rFonts w:ascii="Century Gothic" w:hAnsi="Century Gothic"/>
          <w:sz w:val="22"/>
          <w:szCs w:val="22"/>
        </w:rPr>
        <w:t>Para</w:t>
      </w:r>
      <w:r w:rsidRPr="00112B45">
        <w:rPr>
          <w:rFonts w:ascii="Century Gothic" w:hAnsi="Century Gothic"/>
          <w:sz w:val="22"/>
          <w:szCs w:val="22"/>
        </w:rPr>
        <w:t xml:space="preserve"> verificar las actividades y controles </w:t>
      </w:r>
      <w:r w:rsidRPr="005240EB">
        <w:rPr>
          <w:rFonts w:ascii="Century Gothic" w:hAnsi="Century Gothic"/>
          <w:sz w:val="22"/>
          <w:szCs w:val="22"/>
        </w:rPr>
        <w:t xml:space="preserve">aplicados </w:t>
      </w:r>
      <w:r w:rsidRPr="00112B45">
        <w:rPr>
          <w:rFonts w:ascii="Century Gothic" w:hAnsi="Century Gothic"/>
          <w:sz w:val="22"/>
          <w:szCs w:val="22"/>
        </w:rPr>
        <w:t>en la determinación y recuperación de sumas giradas de más</w:t>
      </w:r>
      <w:r w:rsidRPr="005240EB">
        <w:rPr>
          <w:rFonts w:ascii="Century Gothic" w:hAnsi="Century Gothic"/>
          <w:sz w:val="22"/>
          <w:szCs w:val="22"/>
        </w:rPr>
        <w:t xml:space="preserve"> (</w:t>
      </w:r>
      <w:r w:rsidRPr="00112B45">
        <w:rPr>
          <w:rFonts w:ascii="Century Gothic" w:hAnsi="Century Gothic"/>
          <w:sz w:val="22"/>
          <w:szCs w:val="22"/>
        </w:rPr>
        <w:t>entrevista</w:t>
      </w:r>
      <w:r w:rsidRPr="005240EB">
        <w:rPr>
          <w:rFonts w:ascii="Century Gothic" w:hAnsi="Century Gothic"/>
          <w:sz w:val="22"/>
          <w:szCs w:val="22"/>
        </w:rPr>
        <w:t>s</w:t>
      </w:r>
      <w:r w:rsidRPr="00112B45">
        <w:rPr>
          <w:rFonts w:ascii="Century Gothic" w:hAnsi="Century Gothic"/>
          <w:sz w:val="22"/>
          <w:szCs w:val="22"/>
        </w:rPr>
        <w:t xml:space="preserve">, </w:t>
      </w:r>
      <w:r w:rsidRPr="005240EB">
        <w:rPr>
          <w:rFonts w:ascii="Century Gothic" w:hAnsi="Century Gothic"/>
          <w:sz w:val="22"/>
          <w:szCs w:val="22"/>
        </w:rPr>
        <w:t>recálculos</w:t>
      </w:r>
      <w:r w:rsidRPr="00112B45">
        <w:rPr>
          <w:rFonts w:ascii="Century Gothic" w:hAnsi="Century Gothic"/>
          <w:sz w:val="22"/>
          <w:szCs w:val="22"/>
        </w:rPr>
        <w:t xml:space="preserve"> y </w:t>
      </w:r>
      <w:r w:rsidRPr="005240EB">
        <w:rPr>
          <w:rFonts w:ascii="Century Gothic" w:hAnsi="Century Gothic"/>
          <w:sz w:val="22"/>
          <w:szCs w:val="22"/>
        </w:rPr>
        <w:t>revisión de</w:t>
      </w:r>
      <w:r w:rsidRPr="00112B45">
        <w:rPr>
          <w:rFonts w:ascii="Century Gothic" w:hAnsi="Century Gothic"/>
          <w:sz w:val="22"/>
          <w:szCs w:val="22"/>
        </w:rPr>
        <w:t xml:space="preserve"> procedimientos</w:t>
      </w:r>
      <w:r w:rsidRPr="005240EB">
        <w:rPr>
          <w:rFonts w:ascii="Century Gothic" w:hAnsi="Century Gothic"/>
          <w:sz w:val="22"/>
          <w:szCs w:val="22"/>
        </w:rPr>
        <w:t>), se determinaron</w:t>
      </w:r>
      <w:r w:rsidRPr="00112B45">
        <w:rPr>
          <w:rFonts w:ascii="Century Gothic" w:hAnsi="Century Gothic"/>
          <w:sz w:val="22"/>
          <w:szCs w:val="22"/>
        </w:rPr>
        <w:t xml:space="preserve"> situaciones relacionadas con errores en el cálculo de deuda</w:t>
      </w:r>
      <w:r w:rsidRPr="005240EB">
        <w:rPr>
          <w:rFonts w:ascii="Century Gothic" w:hAnsi="Century Gothic"/>
          <w:sz w:val="22"/>
          <w:szCs w:val="22"/>
        </w:rPr>
        <w:t>s</w:t>
      </w:r>
      <w:r w:rsidRPr="00112B45">
        <w:rPr>
          <w:rFonts w:ascii="Century Gothic" w:hAnsi="Century Gothic"/>
          <w:sz w:val="22"/>
          <w:szCs w:val="22"/>
        </w:rPr>
        <w:t xml:space="preserve"> por sumas </w:t>
      </w:r>
      <w:r w:rsidRPr="005240EB">
        <w:rPr>
          <w:rFonts w:ascii="Century Gothic" w:hAnsi="Century Gothic"/>
          <w:sz w:val="22"/>
          <w:szCs w:val="22"/>
        </w:rPr>
        <w:t xml:space="preserve">pagadas </w:t>
      </w:r>
      <w:r w:rsidRPr="00112B45">
        <w:rPr>
          <w:rFonts w:ascii="Century Gothic" w:hAnsi="Century Gothic"/>
          <w:sz w:val="22"/>
          <w:szCs w:val="22"/>
        </w:rPr>
        <w:t xml:space="preserve">de más, falta de seguimiento de trámites pendientes y se establecieron oportunidades de mejora </w:t>
      </w:r>
      <w:r w:rsidRPr="005240EB">
        <w:rPr>
          <w:rFonts w:ascii="Century Gothic" w:hAnsi="Century Gothic"/>
          <w:sz w:val="22"/>
          <w:szCs w:val="22"/>
        </w:rPr>
        <w:t>al respecto</w:t>
      </w:r>
      <w:r w:rsidRPr="00112B45">
        <w:rPr>
          <w:rFonts w:ascii="Century Gothic" w:hAnsi="Century Gothic"/>
          <w:sz w:val="22"/>
          <w:szCs w:val="22"/>
        </w:rPr>
        <w:t>.</w:t>
      </w:r>
    </w:p>
    <w:p w14:paraId="33D3B84F" w14:textId="77777777" w:rsidR="008A3D71" w:rsidRPr="00112B45" w:rsidRDefault="008A3D71" w:rsidP="008A3D71">
      <w:pPr>
        <w:ind w:right="49"/>
        <w:jc w:val="both"/>
        <w:rPr>
          <w:rFonts w:ascii="Century Gothic" w:hAnsi="Century Gothic"/>
          <w:sz w:val="18"/>
          <w:szCs w:val="18"/>
        </w:rPr>
      </w:pPr>
    </w:p>
    <w:p w14:paraId="5C528923" w14:textId="77777777" w:rsidR="008A3D71" w:rsidRPr="00112B45" w:rsidRDefault="008A3D71" w:rsidP="008A3D71">
      <w:pPr>
        <w:pStyle w:val="Prrafodelista"/>
        <w:numPr>
          <w:ilvl w:val="0"/>
          <w:numId w:val="24"/>
        </w:numPr>
        <w:ind w:right="49"/>
        <w:contextualSpacing/>
        <w:jc w:val="both"/>
        <w:rPr>
          <w:rFonts w:ascii="Century Gothic" w:hAnsi="Century Gothic"/>
          <w:sz w:val="22"/>
          <w:szCs w:val="22"/>
        </w:rPr>
      </w:pPr>
      <w:r w:rsidRPr="005240EB">
        <w:rPr>
          <w:rFonts w:ascii="Century Gothic" w:hAnsi="Century Gothic"/>
          <w:sz w:val="22"/>
          <w:szCs w:val="22"/>
        </w:rPr>
        <w:t>Al</w:t>
      </w:r>
      <w:r w:rsidRPr="00112B45">
        <w:rPr>
          <w:rFonts w:ascii="Century Gothic" w:hAnsi="Century Gothic"/>
          <w:sz w:val="22"/>
          <w:szCs w:val="22"/>
        </w:rPr>
        <w:t xml:space="preserve"> revis</w:t>
      </w:r>
      <w:r w:rsidRPr="005240EB">
        <w:rPr>
          <w:rFonts w:ascii="Century Gothic" w:hAnsi="Century Gothic"/>
          <w:sz w:val="22"/>
          <w:szCs w:val="22"/>
        </w:rPr>
        <w:t>ar</w:t>
      </w:r>
      <w:r w:rsidRPr="00112B45">
        <w:rPr>
          <w:rFonts w:ascii="Century Gothic" w:hAnsi="Century Gothic"/>
          <w:sz w:val="22"/>
          <w:szCs w:val="22"/>
        </w:rPr>
        <w:t xml:space="preserve"> el cumplimiento de la normativa</w:t>
      </w:r>
      <w:r w:rsidRPr="005240EB">
        <w:rPr>
          <w:rFonts w:ascii="Century Gothic" w:hAnsi="Century Gothic"/>
          <w:sz w:val="22"/>
          <w:szCs w:val="22"/>
        </w:rPr>
        <w:t xml:space="preserve">, </w:t>
      </w:r>
      <w:r w:rsidRPr="00112B45">
        <w:rPr>
          <w:rFonts w:ascii="Century Gothic" w:hAnsi="Century Gothic"/>
          <w:sz w:val="22"/>
          <w:szCs w:val="22"/>
        </w:rPr>
        <w:t xml:space="preserve">se </w:t>
      </w:r>
      <w:r w:rsidRPr="005240EB">
        <w:rPr>
          <w:rFonts w:ascii="Century Gothic" w:hAnsi="Century Gothic"/>
          <w:sz w:val="22"/>
          <w:szCs w:val="22"/>
        </w:rPr>
        <w:t>establecieron</w:t>
      </w:r>
      <w:r w:rsidRPr="00112B45">
        <w:rPr>
          <w:rFonts w:ascii="Century Gothic" w:hAnsi="Century Gothic"/>
          <w:sz w:val="22"/>
          <w:szCs w:val="22"/>
        </w:rPr>
        <w:t xml:space="preserve"> algunos aspectos de mejora en relación con las labores efectuadas para el control de estudiantes que perciben un derecho por sobrevivencia, lo cual fue debidamente informado a la Administración para su análisis.</w:t>
      </w:r>
    </w:p>
    <w:p w14:paraId="2B9C6DFC" w14:textId="77777777" w:rsidR="00F62781" w:rsidRPr="0095701C" w:rsidRDefault="00F62781" w:rsidP="00F62781">
      <w:pPr>
        <w:jc w:val="both"/>
        <w:rPr>
          <w:rFonts w:ascii="Century Gothic" w:hAnsi="Century Gothic"/>
        </w:rPr>
      </w:pPr>
    </w:p>
    <w:p w14:paraId="2B341605" w14:textId="77777777" w:rsidR="00F62781" w:rsidRPr="0095701C" w:rsidRDefault="00F62781" w:rsidP="00F62781">
      <w:pPr>
        <w:jc w:val="both"/>
        <w:rPr>
          <w:rFonts w:ascii="Century Gothic" w:hAnsi="Century Gothic"/>
          <w:b/>
          <w:bCs/>
          <w:sz w:val="22"/>
          <w:szCs w:val="22"/>
        </w:rPr>
      </w:pPr>
      <w:r w:rsidRPr="0095701C">
        <w:rPr>
          <w:rFonts w:ascii="Century Gothic" w:hAnsi="Century Gothic"/>
          <w:sz w:val="22"/>
          <w:szCs w:val="22"/>
        </w:rPr>
        <w:t>Esta revisión fue aprobada en la Sesión Ordinaria No. 043-2021 del 22 de abril de 2021.</w:t>
      </w:r>
    </w:p>
    <w:p w14:paraId="03F6040F" w14:textId="2FAB9B7B" w:rsidR="009C6626" w:rsidRPr="00F62781" w:rsidRDefault="009C6626" w:rsidP="00F62781"/>
    <w:sectPr w:rsidR="009C6626" w:rsidRPr="00F627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2104E"/>
    <w:multiLevelType w:val="hybridMultilevel"/>
    <w:tmpl w:val="2840635A"/>
    <w:lvl w:ilvl="0" w:tplc="D2D6E4C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D3909"/>
    <w:multiLevelType w:val="hybridMultilevel"/>
    <w:tmpl w:val="8530FF36"/>
    <w:lvl w:ilvl="0" w:tplc="1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7FD3178"/>
    <w:multiLevelType w:val="hybridMultilevel"/>
    <w:tmpl w:val="EE26CA3E"/>
    <w:lvl w:ilvl="0" w:tplc="2F9AB5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F8AF8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74C60"/>
    <w:multiLevelType w:val="hybridMultilevel"/>
    <w:tmpl w:val="63A6749A"/>
    <w:lvl w:ilvl="0" w:tplc="02B0819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7049C"/>
    <w:multiLevelType w:val="multilevel"/>
    <w:tmpl w:val="D3FE70A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2A33746"/>
    <w:multiLevelType w:val="hybridMultilevel"/>
    <w:tmpl w:val="6C4C3D28"/>
    <w:lvl w:ilvl="0" w:tplc="14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A1D7CBE"/>
    <w:multiLevelType w:val="hybridMultilevel"/>
    <w:tmpl w:val="5E36B50C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538A9"/>
    <w:multiLevelType w:val="hybridMultilevel"/>
    <w:tmpl w:val="31BEB9AA"/>
    <w:lvl w:ilvl="0" w:tplc="210E5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62BC6"/>
    <w:multiLevelType w:val="multilevel"/>
    <w:tmpl w:val="2F32EBFE"/>
    <w:lvl w:ilvl="0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  <w:color w:val="000000"/>
      </w:rPr>
    </w:lvl>
  </w:abstractNum>
  <w:abstractNum w:abstractNumId="9" w15:restartNumberingAfterBreak="0">
    <w:nsid w:val="2AF53581"/>
    <w:multiLevelType w:val="hybridMultilevel"/>
    <w:tmpl w:val="BF6AF340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51CFA"/>
    <w:multiLevelType w:val="multilevel"/>
    <w:tmpl w:val="F91A13A4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78B060B"/>
    <w:multiLevelType w:val="hybridMultilevel"/>
    <w:tmpl w:val="1D489F2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05C0D"/>
    <w:multiLevelType w:val="hybridMultilevel"/>
    <w:tmpl w:val="9A8EAF16"/>
    <w:lvl w:ilvl="0" w:tplc="308CD73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C601F"/>
    <w:multiLevelType w:val="hybridMultilevel"/>
    <w:tmpl w:val="AEE05DF6"/>
    <w:lvl w:ilvl="0" w:tplc="1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E1F2FCD"/>
    <w:multiLevelType w:val="hybridMultilevel"/>
    <w:tmpl w:val="FDA427B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B7B07"/>
    <w:multiLevelType w:val="hybridMultilevel"/>
    <w:tmpl w:val="5406D73A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351A3"/>
    <w:multiLevelType w:val="hybridMultilevel"/>
    <w:tmpl w:val="43F8ED7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D751929"/>
    <w:multiLevelType w:val="multilevel"/>
    <w:tmpl w:val="157EE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  <w:lang w:val="es-CR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8" w15:restartNumberingAfterBreak="0">
    <w:nsid w:val="5E72039D"/>
    <w:multiLevelType w:val="hybridMultilevel"/>
    <w:tmpl w:val="032856A8"/>
    <w:lvl w:ilvl="0" w:tplc="FE104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47B8E"/>
    <w:multiLevelType w:val="multilevel"/>
    <w:tmpl w:val="3F0C0E9E"/>
    <w:lvl w:ilvl="0">
      <w:start w:val="1"/>
      <w:numFmt w:val="upperRoman"/>
      <w:lvlText w:val="%1."/>
      <w:lvlJc w:val="left"/>
      <w:pPr>
        <w:ind w:left="6533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46F4CB0"/>
    <w:multiLevelType w:val="hybridMultilevel"/>
    <w:tmpl w:val="8CC2856E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531E1A"/>
    <w:multiLevelType w:val="hybridMultilevel"/>
    <w:tmpl w:val="BDACF98A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F4806"/>
    <w:multiLevelType w:val="multilevel"/>
    <w:tmpl w:val="7A0C98F0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2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C8718C6"/>
    <w:multiLevelType w:val="hybridMultilevel"/>
    <w:tmpl w:val="43FA3828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21"/>
  </w:num>
  <w:num w:numId="4">
    <w:abstractNumId w:val="8"/>
  </w:num>
  <w:num w:numId="5">
    <w:abstractNumId w:val="10"/>
  </w:num>
  <w:num w:numId="6">
    <w:abstractNumId w:val="13"/>
  </w:num>
  <w:num w:numId="7">
    <w:abstractNumId w:val="1"/>
  </w:num>
  <w:num w:numId="8">
    <w:abstractNumId w:val="4"/>
  </w:num>
  <w:num w:numId="9">
    <w:abstractNumId w:val="11"/>
  </w:num>
  <w:num w:numId="10">
    <w:abstractNumId w:val="14"/>
  </w:num>
  <w:num w:numId="11">
    <w:abstractNumId w:val="2"/>
  </w:num>
  <w:num w:numId="12">
    <w:abstractNumId w:val="3"/>
  </w:num>
  <w:num w:numId="13">
    <w:abstractNumId w:val="15"/>
  </w:num>
  <w:num w:numId="14">
    <w:abstractNumId w:val="12"/>
  </w:num>
  <w:num w:numId="15">
    <w:abstractNumId w:val="0"/>
  </w:num>
  <w:num w:numId="16">
    <w:abstractNumId w:val="19"/>
  </w:num>
  <w:num w:numId="17">
    <w:abstractNumId w:val="22"/>
  </w:num>
  <w:num w:numId="18">
    <w:abstractNumId w:val="16"/>
  </w:num>
  <w:num w:numId="19">
    <w:abstractNumId w:val="9"/>
  </w:num>
  <w:num w:numId="20">
    <w:abstractNumId w:val="6"/>
  </w:num>
  <w:num w:numId="21">
    <w:abstractNumId w:val="5"/>
  </w:num>
  <w:num w:numId="22">
    <w:abstractNumId w:val="18"/>
  </w:num>
  <w:num w:numId="23">
    <w:abstractNumId w:val="1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34"/>
    <w:rsid w:val="00030E63"/>
    <w:rsid w:val="001145FF"/>
    <w:rsid w:val="00137F40"/>
    <w:rsid w:val="00147DD2"/>
    <w:rsid w:val="00167E71"/>
    <w:rsid w:val="002D7314"/>
    <w:rsid w:val="005128F8"/>
    <w:rsid w:val="00551429"/>
    <w:rsid w:val="00561D08"/>
    <w:rsid w:val="006A5777"/>
    <w:rsid w:val="008A3D71"/>
    <w:rsid w:val="00917831"/>
    <w:rsid w:val="0095701C"/>
    <w:rsid w:val="009C6626"/>
    <w:rsid w:val="00BA072F"/>
    <w:rsid w:val="00BD777B"/>
    <w:rsid w:val="00C86634"/>
    <w:rsid w:val="00CE789C"/>
    <w:rsid w:val="00D825A1"/>
    <w:rsid w:val="00DA6965"/>
    <w:rsid w:val="00E278C6"/>
    <w:rsid w:val="00F25292"/>
    <w:rsid w:val="00F34AC5"/>
    <w:rsid w:val="00F6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0A0E70"/>
  <w15:chartTrackingRefBased/>
  <w15:docId w15:val="{64B603DB-1C63-45D8-A314-DD489181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C86634"/>
    <w:pPr>
      <w:keepNext/>
      <w:jc w:val="center"/>
      <w:outlineLvl w:val="3"/>
    </w:pPr>
    <w:rPr>
      <w:rFonts w:ascii="Century Gothic" w:hAnsi="Century Gothic" w:cs="Courier New"/>
      <w:b/>
      <w:bCs/>
      <w:color w:val="FF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Informe"/>
    <w:basedOn w:val="Normal"/>
    <w:link w:val="PrrafodelistaCar"/>
    <w:uiPriority w:val="34"/>
    <w:qFormat/>
    <w:rsid w:val="00C86634"/>
    <w:pPr>
      <w:ind w:left="708"/>
    </w:pPr>
  </w:style>
  <w:style w:type="character" w:customStyle="1" w:styleId="PrrafodelistaCar">
    <w:name w:val="Párrafo de lista Car"/>
    <w:aliases w:val="Informe Car"/>
    <w:link w:val="Prrafodelista"/>
    <w:uiPriority w:val="34"/>
    <w:locked/>
    <w:rsid w:val="00C8663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86634"/>
    <w:pPr>
      <w:jc w:val="both"/>
    </w:pPr>
    <w:rPr>
      <w:rFonts w:ascii="Arial" w:hAnsi="Arial" w:cs="Arial"/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C86634"/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86634"/>
    <w:rPr>
      <w:rFonts w:ascii="Century Gothic" w:eastAsia="Times New Roman" w:hAnsi="Century Gothic" w:cs="Courier New"/>
      <w:b/>
      <w:bCs/>
      <w:color w:val="FF0000"/>
      <w:sz w:val="20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866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663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1145FF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paragraph" w:customStyle="1" w:styleId="Sinespaciado1">
    <w:name w:val="Sin espaciado1"/>
    <w:qFormat/>
    <w:rsid w:val="00F62781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/>
</file>