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899FE" w14:textId="77777777" w:rsidR="00F62781" w:rsidRPr="0095701C" w:rsidRDefault="00F62781" w:rsidP="00F62781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95701C">
        <w:rPr>
          <w:rFonts w:ascii="Century Gothic" w:hAnsi="Century Gothic"/>
          <w:b/>
          <w:bCs/>
          <w:sz w:val="22"/>
          <w:szCs w:val="20"/>
        </w:rPr>
        <w:t>Estudio No. 10-2021</w:t>
      </w:r>
    </w:p>
    <w:p w14:paraId="5EB89D15" w14:textId="77777777" w:rsidR="00F62781" w:rsidRDefault="00F62781" w:rsidP="00F62781">
      <w:pPr>
        <w:jc w:val="center"/>
        <w:rPr>
          <w:rFonts w:ascii="Century Gothic" w:hAnsi="Century Gothic"/>
          <w:b/>
          <w:bCs/>
          <w:sz w:val="22"/>
          <w:szCs w:val="20"/>
        </w:rPr>
      </w:pPr>
      <w:r w:rsidRPr="0095701C">
        <w:rPr>
          <w:rFonts w:ascii="Century Gothic" w:hAnsi="Century Gothic"/>
          <w:b/>
          <w:bCs/>
          <w:sz w:val="22"/>
          <w:szCs w:val="20"/>
        </w:rPr>
        <w:t>Cumplimiento normativo actuarial del RCC</w:t>
      </w:r>
    </w:p>
    <w:p w14:paraId="6B6F1979" w14:textId="77777777" w:rsidR="00F62781" w:rsidRPr="0095701C" w:rsidRDefault="00F62781" w:rsidP="00F62781">
      <w:pPr>
        <w:jc w:val="center"/>
        <w:rPr>
          <w:rFonts w:ascii="Century Gothic" w:hAnsi="Century Gothic"/>
          <w:b/>
          <w:bCs/>
          <w:sz w:val="22"/>
          <w:szCs w:val="20"/>
        </w:rPr>
      </w:pPr>
    </w:p>
    <w:p w14:paraId="203137E9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hAnsi="Century Gothic"/>
          <w:b/>
        </w:rPr>
      </w:pPr>
      <w:r>
        <w:rPr>
          <w:rFonts w:ascii="Century Gothic" w:eastAsia="Calibri" w:hAnsi="Century Gothic"/>
          <w:b/>
          <w:sz w:val="22"/>
          <w:szCs w:val="22"/>
          <w:lang w:eastAsia="en-US"/>
        </w:rPr>
        <w:t xml:space="preserve">I. </w:t>
      </w:r>
      <w:r w:rsidRPr="0095701C">
        <w:rPr>
          <w:rFonts w:ascii="Century Gothic" w:eastAsia="Calibri" w:hAnsi="Century Gothic"/>
          <w:b/>
          <w:sz w:val="22"/>
          <w:szCs w:val="22"/>
          <w:lang w:eastAsia="en-US"/>
        </w:rPr>
        <w:t>Alcance</w:t>
      </w:r>
    </w:p>
    <w:p w14:paraId="1B3AB05A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Century Gothic" w:hAnsi="Century Gothic"/>
          <w:sz w:val="22"/>
          <w:szCs w:val="22"/>
          <w:lang w:val="es-ES_tradnl"/>
        </w:rPr>
      </w:pPr>
      <w:r w:rsidRPr="0095701C">
        <w:rPr>
          <w:rFonts w:ascii="Century Gothic" w:hAnsi="Century Gothic"/>
          <w:sz w:val="22"/>
        </w:rPr>
        <w:t>Comprobar el cumplimiento de algunos artículos del Reglamento Actuarial vigente, relacionados con las evaluaciones actuariales del Régimen de Capitalización Colectiva.</w:t>
      </w:r>
    </w:p>
    <w:p w14:paraId="358C23D8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Century Gothic" w:hAnsi="Century Gothic"/>
          <w:sz w:val="22"/>
          <w:szCs w:val="22"/>
          <w:lang w:val="es-ES_tradnl"/>
        </w:rPr>
      </w:pPr>
    </w:p>
    <w:p w14:paraId="5C47E351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right="46"/>
        <w:jc w:val="both"/>
        <w:textAlignment w:val="baseline"/>
        <w:rPr>
          <w:rFonts w:ascii="Century Gothic" w:hAnsi="Century Gothic"/>
          <w:sz w:val="22"/>
          <w:szCs w:val="22"/>
          <w:lang w:val="es-ES_tradnl"/>
        </w:rPr>
      </w:pPr>
    </w:p>
    <w:p w14:paraId="4CE89010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95701C">
        <w:rPr>
          <w:rFonts w:ascii="Century Gothic" w:eastAsia="Calibri" w:hAnsi="Century Gothic"/>
          <w:b/>
          <w:sz w:val="22"/>
          <w:szCs w:val="22"/>
          <w:lang w:eastAsia="en-US"/>
        </w:rPr>
        <w:t>II. Objetivos</w:t>
      </w:r>
    </w:p>
    <w:p w14:paraId="10EB9666" w14:textId="77777777" w:rsidR="00F62781" w:rsidRPr="0095701C" w:rsidRDefault="00F62781" w:rsidP="00F62781">
      <w:pPr>
        <w:overflowPunct w:val="0"/>
        <w:autoSpaceDE w:val="0"/>
        <w:autoSpaceDN w:val="0"/>
        <w:adjustRightInd w:val="0"/>
        <w:ind w:left="284" w:right="46" w:hanging="284"/>
        <w:jc w:val="both"/>
        <w:textAlignment w:val="baseline"/>
        <w:rPr>
          <w:rFonts w:ascii="Century Gothic" w:eastAsia="Calibri" w:hAnsi="Century Gothic"/>
          <w:b/>
          <w:sz w:val="4"/>
          <w:szCs w:val="22"/>
          <w:lang w:eastAsia="en-US"/>
        </w:rPr>
      </w:pPr>
    </w:p>
    <w:p w14:paraId="38F57FB4" w14:textId="77777777" w:rsidR="00F62781" w:rsidRPr="0095701C" w:rsidRDefault="00F62781" w:rsidP="00F62781">
      <w:pPr>
        <w:pStyle w:val="Sinespaciado1"/>
        <w:numPr>
          <w:ilvl w:val="0"/>
          <w:numId w:val="22"/>
        </w:numPr>
        <w:ind w:left="426"/>
        <w:jc w:val="both"/>
        <w:rPr>
          <w:rFonts w:ascii="Century Gothic" w:hAnsi="Century Gothic"/>
        </w:rPr>
      </w:pPr>
      <w:r w:rsidRPr="0095701C">
        <w:rPr>
          <w:rFonts w:ascii="Century Gothic" w:hAnsi="Century Gothic"/>
          <w:lang w:val="es-MX"/>
        </w:rPr>
        <w:t>Verificar</w:t>
      </w:r>
      <w:r w:rsidRPr="0095701C">
        <w:rPr>
          <w:rFonts w:ascii="Century Gothic" w:hAnsi="Century Gothic"/>
        </w:rPr>
        <w:t xml:space="preserve"> el cumplimiento del marco normativo actuarial vigente, con respecto al RCC.</w:t>
      </w:r>
    </w:p>
    <w:p w14:paraId="3D30DC28" w14:textId="77777777" w:rsidR="00F62781" w:rsidRPr="0095701C" w:rsidRDefault="00F62781" w:rsidP="00F62781">
      <w:pPr>
        <w:pStyle w:val="Sinespaciado1"/>
        <w:ind w:left="426"/>
        <w:jc w:val="both"/>
        <w:rPr>
          <w:rFonts w:ascii="Century Gothic" w:hAnsi="Century Gothic"/>
          <w:sz w:val="24"/>
          <w:lang w:val="es-MX"/>
        </w:rPr>
      </w:pPr>
    </w:p>
    <w:p w14:paraId="167AB41D" w14:textId="77777777" w:rsidR="00F62781" w:rsidRPr="0095701C" w:rsidRDefault="00F62781" w:rsidP="00F62781">
      <w:pPr>
        <w:pStyle w:val="Sinespaciado1"/>
        <w:numPr>
          <w:ilvl w:val="0"/>
          <w:numId w:val="22"/>
        </w:numPr>
        <w:ind w:left="426"/>
        <w:jc w:val="both"/>
        <w:rPr>
          <w:rFonts w:ascii="Century Gothic" w:hAnsi="Century Gothic"/>
          <w:b/>
        </w:rPr>
      </w:pPr>
      <w:r w:rsidRPr="0095701C">
        <w:rPr>
          <w:rFonts w:ascii="Century Gothic" w:hAnsi="Century Gothic"/>
          <w:lang w:val="es-MX"/>
        </w:rPr>
        <w:t>Efectuar un análisis comparativo del balance actuarial, utilizando las evaluaciones actuariales internas del 30/06/2015 al 30/06/2020.</w:t>
      </w:r>
    </w:p>
    <w:p w14:paraId="7C5C7E3E" w14:textId="77777777" w:rsidR="00F62781" w:rsidRPr="0095701C" w:rsidRDefault="00F62781" w:rsidP="00F62781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3641C32" w14:textId="77777777" w:rsidR="00F62781" w:rsidRPr="0095701C" w:rsidRDefault="00F62781" w:rsidP="00F62781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29A4D75" w14:textId="77777777" w:rsidR="00F62781" w:rsidRPr="0095701C" w:rsidRDefault="00F62781" w:rsidP="00F62781">
      <w:pPr>
        <w:pStyle w:val="Prrafodelista"/>
        <w:ind w:left="426" w:right="473" w:hanging="437"/>
        <w:rPr>
          <w:rFonts w:ascii="Century Gothic" w:eastAsia="Calibri" w:hAnsi="Century Gothic"/>
          <w:b/>
          <w:sz w:val="22"/>
          <w:szCs w:val="22"/>
          <w:lang w:eastAsia="en-US"/>
        </w:rPr>
      </w:pPr>
      <w:r w:rsidRPr="0095701C">
        <w:rPr>
          <w:rFonts w:ascii="Century Gothic" w:eastAsia="Calibri" w:hAnsi="Century Gothic"/>
          <w:b/>
          <w:sz w:val="22"/>
          <w:szCs w:val="22"/>
          <w:lang w:eastAsia="en-US"/>
        </w:rPr>
        <w:t>III. Resultados obtenidos</w:t>
      </w:r>
    </w:p>
    <w:p w14:paraId="649A4A2F" w14:textId="77777777" w:rsidR="00F62781" w:rsidRPr="0095701C" w:rsidRDefault="00F62781" w:rsidP="00F62781">
      <w:pPr>
        <w:ind w:right="49"/>
        <w:jc w:val="both"/>
        <w:rPr>
          <w:rFonts w:ascii="Century Gothic" w:hAnsi="Century Gothic" w:cs="Arial"/>
          <w:lang w:val="es-CR"/>
        </w:rPr>
      </w:pPr>
      <w:r w:rsidRPr="0095701C">
        <w:rPr>
          <w:rFonts w:ascii="Century Gothic" w:hAnsi="Century Gothic" w:cs="Arial"/>
          <w:sz w:val="22"/>
          <w:szCs w:val="22"/>
        </w:rPr>
        <w:t xml:space="preserve">De conformidad con el objetivo propuesto para esta revisión: </w:t>
      </w:r>
    </w:p>
    <w:p w14:paraId="0E1CCE42" w14:textId="77777777" w:rsidR="00F62781" w:rsidRPr="0095701C" w:rsidRDefault="00F62781" w:rsidP="00F62781">
      <w:pPr>
        <w:jc w:val="both"/>
        <w:rPr>
          <w:rFonts w:ascii="Century Gothic" w:hAnsi="Century Gothic"/>
          <w:sz w:val="22"/>
          <w:szCs w:val="22"/>
          <w:lang w:val="es-MX"/>
        </w:rPr>
      </w:pPr>
    </w:p>
    <w:p w14:paraId="02218403" w14:textId="77777777" w:rsidR="00F62781" w:rsidRPr="0095701C" w:rsidRDefault="00F62781" w:rsidP="00F62781">
      <w:pPr>
        <w:numPr>
          <w:ilvl w:val="0"/>
          <w:numId w:val="20"/>
        </w:numPr>
        <w:ind w:left="567" w:hanging="425"/>
        <w:contextualSpacing/>
        <w:jc w:val="both"/>
        <w:rPr>
          <w:rFonts w:ascii="Century Gothic" w:hAnsi="Century Gothic"/>
          <w:sz w:val="22"/>
          <w:szCs w:val="20"/>
          <w:lang w:val="es-CR" w:eastAsia="es-CR"/>
        </w:rPr>
      </w:pPr>
      <w:r w:rsidRPr="0095701C">
        <w:rPr>
          <w:rFonts w:ascii="Century Gothic" w:hAnsi="Century Gothic"/>
          <w:iCs/>
          <w:sz w:val="22"/>
          <w:szCs w:val="22"/>
          <w:lang w:val="es-MX" w:eastAsia="en-US"/>
        </w:rPr>
        <w:t xml:space="preserve">Se corroboró el cumplimento de lo establecido en el </w:t>
      </w:r>
      <w:r w:rsidRPr="0095701C">
        <w:rPr>
          <w:rFonts w:ascii="Century Gothic" w:hAnsi="Century Gothic"/>
          <w:iCs/>
          <w:sz w:val="22"/>
          <w:lang w:val="es-MX"/>
        </w:rPr>
        <w:t>Reglamento</w:t>
      </w:r>
      <w:r w:rsidRPr="0095701C">
        <w:rPr>
          <w:rFonts w:ascii="Century Gothic" w:hAnsi="Century Gothic"/>
          <w:sz w:val="22"/>
          <w:lang w:val="es-MX"/>
        </w:rPr>
        <w:t xml:space="preserve"> Actuarial</w:t>
      </w:r>
      <w:r w:rsidRPr="0095701C">
        <w:rPr>
          <w:rFonts w:ascii="Century Gothic" w:hAnsi="Century Gothic"/>
          <w:sz w:val="22"/>
        </w:rPr>
        <w:t xml:space="preserve"> </w:t>
      </w:r>
      <w:r w:rsidRPr="0095701C">
        <w:rPr>
          <w:rFonts w:ascii="Century Gothic" w:hAnsi="Century Gothic"/>
          <w:sz w:val="22"/>
          <w:szCs w:val="20"/>
          <w:lang w:val="es-CR" w:eastAsia="es-CR"/>
        </w:rPr>
        <w:t xml:space="preserve">emitido por el Consejo Nacional de Supervisión del Sistema Financiero (CONASSIF) y </w:t>
      </w:r>
      <w:r w:rsidRPr="0095701C">
        <w:rPr>
          <w:rFonts w:ascii="Century Gothic" w:hAnsi="Century Gothic"/>
          <w:iCs/>
          <w:sz w:val="22"/>
          <w:szCs w:val="22"/>
          <w:lang w:val="es-MX" w:eastAsia="en-US"/>
        </w:rPr>
        <w:t>la aplicación de los artículos seleccionados del Reglamento General del Régimen de Capitalización Colectiva del Sistema de Pensiones y Jubilaciones del Magisterio Nacional</w:t>
      </w:r>
      <w:r w:rsidRPr="0095701C">
        <w:rPr>
          <w:rFonts w:ascii="Century Gothic" w:hAnsi="Century Gothic"/>
          <w:sz w:val="22"/>
          <w:szCs w:val="22"/>
          <w:lang w:val="es-CR" w:eastAsia="en-US"/>
        </w:rPr>
        <w:t xml:space="preserve"> relacionados con el tema actuarial, con resultados satisfactorios.</w:t>
      </w:r>
    </w:p>
    <w:p w14:paraId="5AD205E2" w14:textId="77777777" w:rsidR="00F62781" w:rsidRPr="0095701C" w:rsidRDefault="00F62781" w:rsidP="00F62781">
      <w:pPr>
        <w:spacing w:line="259" w:lineRule="auto"/>
        <w:ind w:left="567" w:hanging="425"/>
        <w:jc w:val="both"/>
        <w:rPr>
          <w:rFonts w:ascii="Century Gothic" w:hAnsi="Century Gothic"/>
          <w:sz w:val="22"/>
          <w:szCs w:val="22"/>
          <w:lang w:val="es-CR" w:eastAsia="en-US"/>
        </w:rPr>
      </w:pPr>
    </w:p>
    <w:p w14:paraId="4638A20B" w14:textId="77777777" w:rsidR="00F62781" w:rsidRPr="0095701C" w:rsidRDefault="00F62781" w:rsidP="00F62781">
      <w:pPr>
        <w:numPr>
          <w:ilvl w:val="0"/>
          <w:numId w:val="19"/>
        </w:numPr>
        <w:spacing w:line="259" w:lineRule="auto"/>
        <w:ind w:left="567" w:hanging="425"/>
        <w:jc w:val="both"/>
        <w:rPr>
          <w:rFonts w:ascii="Century Gothic" w:hAnsi="Century Gothic"/>
          <w:sz w:val="22"/>
          <w:szCs w:val="20"/>
          <w:lang w:val="es-CR" w:eastAsia="en-US"/>
        </w:rPr>
      </w:pPr>
      <w:bookmarkStart w:id="0" w:name="_Hlk14276312"/>
      <w:r w:rsidRPr="0095701C">
        <w:rPr>
          <w:rFonts w:ascii="Century Gothic" w:hAnsi="Century Gothic"/>
          <w:sz w:val="22"/>
          <w:szCs w:val="20"/>
          <w:lang w:val="es-CR" w:eastAsia="en-US"/>
        </w:rPr>
        <w:t>Se efectuó un análisis comparativo de los balances actuariales del RCC (escenario base), considerando las últimas diez evaluaciones actuariales del RCC, elaboradas por el Departamento Actuarial de diciembre 2015 a junio 2020, determinándose lo siguiente:</w:t>
      </w:r>
    </w:p>
    <w:p w14:paraId="05AD62E8" w14:textId="77777777" w:rsidR="00F62781" w:rsidRPr="0095701C" w:rsidRDefault="00F62781" w:rsidP="00F62781">
      <w:pPr>
        <w:spacing w:line="259" w:lineRule="auto"/>
        <w:ind w:left="284"/>
        <w:jc w:val="both"/>
        <w:rPr>
          <w:rFonts w:ascii="Century Gothic" w:hAnsi="Century Gothic"/>
          <w:sz w:val="22"/>
          <w:szCs w:val="20"/>
          <w:lang w:val="es-CR" w:eastAsia="en-US"/>
        </w:rPr>
      </w:pPr>
    </w:p>
    <w:p w14:paraId="67B808C3" w14:textId="77777777" w:rsidR="00F62781" w:rsidRPr="0095701C" w:rsidRDefault="00F62781" w:rsidP="00F62781">
      <w:pPr>
        <w:numPr>
          <w:ilvl w:val="0"/>
          <w:numId w:val="21"/>
        </w:numPr>
        <w:ind w:left="1134" w:hanging="425"/>
        <w:jc w:val="both"/>
        <w:rPr>
          <w:rFonts w:ascii="Century Gothic" w:hAnsi="Century Gothic"/>
          <w:sz w:val="22"/>
          <w:szCs w:val="22"/>
          <w:lang w:eastAsia="en-US"/>
        </w:rPr>
      </w:pPr>
      <w:r w:rsidRPr="0095701C">
        <w:rPr>
          <w:rFonts w:ascii="Century Gothic" w:hAnsi="Century Gothic"/>
          <w:sz w:val="22"/>
          <w:szCs w:val="22"/>
          <w:lang w:eastAsia="en-US"/>
        </w:rPr>
        <w:t>El superávit actuarial del RCC ha sufrido disminuciones, pasando de ¢43.777 millones en diciembre 2015 a ¢14.245 millones en diciembre 2019; no obstante, en junio 2020 se presenta un déficit de ¢7.787 millones, decayendo en un -117.79% al compararse con diciembre de 2015. Sin embargo y de acuerdo con las condiciones hipotéticas establecidas en el escenario base, a la fecha todavía el fondo mantiene un equilibrio de ingresos y egresos.</w:t>
      </w:r>
    </w:p>
    <w:p w14:paraId="1A3520AC" w14:textId="77777777" w:rsidR="00F62781" w:rsidRPr="0095701C" w:rsidRDefault="00F62781" w:rsidP="00F62781">
      <w:pPr>
        <w:ind w:left="1134" w:hanging="425"/>
        <w:jc w:val="both"/>
        <w:rPr>
          <w:rFonts w:ascii="Century Gothic" w:hAnsi="Century Gothic"/>
          <w:sz w:val="22"/>
          <w:szCs w:val="22"/>
          <w:lang w:eastAsia="en-US"/>
        </w:rPr>
      </w:pPr>
    </w:p>
    <w:p w14:paraId="03331552" w14:textId="77777777" w:rsidR="00F62781" w:rsidRPr="0095701C" w:rsidRDefault="00F62781" w:rsidP="00F62781">
      <w:pPr>
        <w:numPr>
          <w:ilvl w:val="0"/>
          <w:numId w:val="21"/>
        </w:numPr>
        <w:ind w:left="1134" w:hanging="425"/>
        <w:jc w:val="both"/>
        <w:rPr>
          <w:rFonts w:ascii="Century Gothic" w:hAnsi="Century Gothic"/>
          <w:sz w:val="22"/>
          <w:szCs w:val="22"/>
          <w:lang w:eastAsia="en-US"/>
        </w:rPr>
      </w:pPr>
      <w:r w:rsidRPr="0095701C">
        <w:rPr>
          <w:rFonts w:ascii="Century Gothic" w:hAnsi="Century Gothic"/>
          <w:sz w:val="22"/>
          <w:szCs w:val="22"/>
          <w:lang w:eastAsia="en-US"/>
        </w:rPr>
        <w:t xml:space="preserve">Para la evaluación actuarial de junio 2020, la prima media general (cotización teórica que un régimen de pensiones requiere para mantener el equilibrio actuarial) registrada es de 16.71% y el porcentaje de cotización vigente es 16,16% </w:t>
      </w:r>
      <w:r w:rsidRPr="0095701C">
        <w:rPr>
          <w:rFonts w:ascii="Century Gothic" w:eastAsia="Calibri" w:hAnsi="Century Gothic"/>
          <w:sz w:val="22"/>
          <w:szCs w:val="22"/>
          <w:lang w:eastAsia="en-US"/>
        </w:rPr>
        <w:t>(obrero 8%, patronal 6.75% y estatal 1.41%</w:t>
      </w:r>
      <w:r w:rsidRPr="0095701C">
        <w:rPr>
          <w:rFonts w:ascii="Century Gothic" w:hAnsi="Century Gothic"/>
          <w:sz w:val="22"/>
          <w:szCs w:val="22"/>
          <w:lang w:eastAsia="en-US"/>
        </w:rPr>
        <w:t>), lo que muestra una brecha de 0.55%.</w:t>
      </w:r>
    </w:p>
    <w:p w14:paraId="59C58C0E" w14:textId="77777777" w:rsidR="00F62781" w:rsidRPr="0095701C" w:rsidRDefault="00F62781" w:rsidP="00F62781">
      <w:pPr>
        <w:ind w:left="1134" w:hanging="425"/>
        <w:jc w:val="both"/>
        <w:rPr>
          <w:rFonts w:ascii="Century Gothic" w:hAnsi="Century Gothic"/>
          <w:sz w:val="22"/>
          <w:szCs w:val="22"/>
          <w:lang w:eastAsia="en-US"/>
        </w:rPr>
      </w:pPr>
    </w:p>
    <w:p w14:paraId="0A9AE7CF" w14:textId="77777777" w:rsidR="00F62781" w:rsidRPr="0095701C" w:rsidRDefault="00F62781" w:rsidP="00F62781">
      <w:pPr>
        <w:numPr>
          <w:ilvl w:val="0"/>
          <w:numId w:val="21"/>
        </w:numPr>
        <w:ind w:left="1134" w:hanging="425"/>
        <w:jc w:val="both"/>
        <w:rPr>
          <w:rFonts w:ascii="Century Gothic" w:hAnsi="Century Gothic"/>
          <w:sz w:val="22"/>
          <w:szCs w:val="22"/>
          <w:lang w:eastAsia="en-US"/>
        </w:rPr>
      </w:pPr>
      <w:r w:rsidRPr="0095701C">
        <w:rPr>
          <w:rFonts w:ascii="Century Gothic" w:hAnsi="Century Gothic"/>
          <w:sz w:val="22"/>
          <w:szCs w:val="22"/>
          <w:lang w:eastAsia="en-US"/>
        </w:rPr>
        <w:lastRenderedPageBreak/>
        <w:t>Aun cuando las reservas actuales permiten la cobertura o el pago de las pensiones vigentes, la razón de solvencia devengada ha disminuido de 113 en diciembre 2015 a 41,12 junio 2020, lo cual significa un decrecimiento de un 63,61%.</w:t>
      </w:r>
    </w:p>
    <w:p w14:paraId="73BB97D5" w14:textId="77777777" w:rsidR="00F62781" w:rsidRPr="0095701C" w:rsidRDefault="00F62781" w:rsidP="00F62781">
      <w:pPr>
        <w:ind w:left="1134" w:hanging="425"/>
        <w:jc w:val="both"/>
        <w:rPr>
          <w:rFonts w:ascii="Century Gothic" w:hAnsi="Century Gothic"/>
          <w:sz w:val="22"/>
          <w:szCs w:val="20"/>
          <w:lang w:val="es-CR" w:eastAsia="en-US"/>
        </w:rPr>
      </w:pPr>
    </w:p>
    <w:p w14:paraId="7EBCC9F3" w14:textId="77777777" w:rsidR="00F62781" w:rsidRPr="0095701C" w:rsidRDefault="00F62781" w:rsidP="00F62781">
      <w:pPr>
        <w:ind w:left="567" w:right="49"/>
        <w:jc w:val="both"/>
        <w:rPr>
          <w:rFonts w:ascii="Century Gothic" w:hAnsi="Century Gothic" w:cs="Calibri"/>
          <w:sz w:val="22"/>
          <w:szCs w:val="22"/>
          <w:lang w:val="es-CR" w:eastAsia="en-US"/>
        </w:rPr>
      </w:pPr>
      <w:r w:rsidRPr="0095701C">
        <w:rPr>
          <w:rFonts w:ascii="Century Gothic" w:hAnsi="Century Gothic"/>
          <w:sz w:val="22"/>
          <w:szCs w:val="22"/>
          <w:lang w:eastAsia="en-US"/>
        </w:rPr>
        <w:t>Por lo cual, es sumamente importante que la Administración mantenga un constante monitoreo de estos indicadores, para poder tomar decisiones oportunas (</w:t>
      </w:r>
      <w:r w:rsidRPr="0095701C">
        <w:rPr>
          <w:rFonts w:ascii="Century Gothic" w:hAnsi="Century Gothic" w:cs="Calibri"/>
          <w:sz w:val="22"/>
          <w:szCs w:val="22"/>
          <w:lang w:val="es-CR" w:eastAsia="en-US"/>
        </w:rPr>
        <w:t xml:space="preserve">modificando </w:t>
      </w:r>
      <w:r w:rsidRPr="0095701C">
        <w:rPr>
          <w:rFonts w:ascii="Century Gothic" w:hAnsi="Century Gothic"/>
          <w:sz w:val="22"/>
          <w:szCs w:val="22"/>
          <w:lang w:eastAsia="en-US"/>
        </w:rPr>
        <w:t xml:space="preserve">las políticas de inversión, </w:t>
      </w:r>
      <w:r w:rsidRPr="0095701C">
        <w:rPr>
          <w:rFonts w:ascii="Century Gothic" w:hAnsi="Century Gothic" w:cs="Calibri"/>
          <w:sz w:val="22"/>
          <w:szCs w:val="22"/>
          <w:lang w:val="es-CR" w:eastAsia="en-US"/>
        </w:rPr>
        <w:t>el perfil de beneficios o los porcentajes de cotización, entre otros) y así evitar entrar en niveles deficitarios.</w:t>
      </w:r>
    </w:p>
    <w:bookmarkEnd w:id="0"/>
    <w:p w14:paraId="2B9C6DFC" w14:textId="77777777" w:rsidR="00F62781" w:rsidRPr="0095701C" w:rsidRDefault="00F62781" w:rsidP="00F62781">
      <w:pPr>
        <w:jc w:val="both"/>
        <w:rPr>
          <w:rFonts w:ascii="Century Gothic" w:hAnsi="Century Gothic"/>
        </w:rPr>
      </w:pPr>
    </w:p>
    <w:p w14:paraId="2B341605" w14:textId="77777777" w:rsidR="00F62781" w:rsidRPr="0095701C" w:rsidRDefault="00F62781" w:rsidP="00F62781">
      <w:pPr>
        <w:jc w:val="both"/>
        <w:rPr>
          <w:rFonts w:ascii="Century Gothic" w:hAnsi="Century Gothic"/>
          <w:b/>
          <w:bCs/>
          <w:sz w:val="22"/>
          <w:szCs w:val="22"/>
        </w:rPr>
      </w:pPr>
      <w:r w:rsidRPr="0095701C">
        <w:rPr>
          <w:rFonts w:ascii="Century Gothic" w:hAnsi="Century Gothic"/>
          <w:sz w:val="22"/>
          <w:szCs w:val="22"/>
        </w:rPr>
        <w:t>Esta revisión fue aprobada en la Sesión Ordinaria No. 043-2021 del 22 de abril de 2021.</w:t>
      </w:r>
    </w:p>
    <w:p w14:paraId="03F6040F" w14:textId="2FAB9B7B" w:rsidR="009C6626" w:rsidRPr="00F62781" w:rsidRDefault="009C6626" w:rsidP="00F62781"/>
    <w:sectPr w:rsidR="009C6626" w:rsidRPr="00F627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04E"/>
    <w:multiLevelType w:val="hybridMultilevel"/>
    <w:tmpl w:val="2840635A"/>
    <w:lvl w:ilvl="0" w:tplc="D2D6E4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D3909"/>
    <w:multiLevelType w:val="hybridMultilevel"/>
    <w:tmpl w:val="8530FF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FD3178"/>
    <w:multiLevelType w:val="hybridMultilevel"/>
    <w:tmpl w:val="EE26CA3E"/>
    <w:lvl w:ilvl="0" w:tplc="2F9AB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8AF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74C60"/>
    <w:multiLevelType w:val="hybridMultilevel"/>
    <w:tmpl w:val="63A6749A"/>
    <w:lvl w:ilvl="0" w:tplc="02B0819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7049C"/>
    <w:multiLevelType w:val="multilevel"/>
    <w:tmpl w:val="D3FE70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A33746"/>
    <w:multiLevelType w:val="hybridMultilevel"/>
    <w:tmpl w:val="6C4C3D28"/>
    <w:lvl w:ilvl="0" w:tplc="14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1D7CBE"/>
    <w:multiLevelType w:val="hybridMultilevel"/>
    <w:tmpl w:val="5E36B50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38A9"/>
    <w:multiLevelType w:val="hybridMultilevel"/>
    <w:tmpl w:val="31BEB9AA"/>
    <w:lvl w:ilvl="0" w:tplc="210E5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62BC6"/>
    <w:multiLevelType w:val="multilevel"/>
    <w:tmpl w:val="2F32EBFE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/>
      </w:rPr>
    </w:lvl>
  </w:abstractNum>
  <w:abstractNum w:abstractNumId="9" w15:restartNumberingAfterBreak="0">
    <w:nsid w:val="2AF53581"/>
    <w:multiLevelType w:val="hybridMultilevel"/>
    <w:tmpl w:val="BF6AF34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1CFA"/>
    <w:multiLevelType w:val="multilevel"/>
    <w:tmpl w:val="F91A13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8B060B"/>
    <w:multiLevelType w:val="hybridMultilevel"/>
    <w:tmpl w:val="1D489F2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05C0D"/>
    <w:multiLevelType w:val="hybridMultilevel"/>
    <w:tmpl w:val="9A8EAF1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C601F"/>
    <w:multiLevelType w:val="hybridMultilevel"/>
    <w:tmpl w:val="AEE05DF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E1F2FCD"/>
    <w:multiLevelType w:val="hybridMultilevel"/>
    <w:tmpl w:val="FDA427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B7B07"/>
    <w:multiLevelType w:val="hybridMultilevel"/>
    <w:tmpl w:val="5406D73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351A3"/>
    <w:multiLevelType w:val="hybridMultilevel"/>
    <w:tmpl w:val="43F8ED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72039D"/>
    <w:multiLevelType w:val="hybridMultilevel"/>
    <w:tmpl w:val="032856A8"/>
    <w:lvl w:ilvl="0" w:tplc="FE104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7B8E"/>
    <w:multiLevelType w:val="multilevel"/>
    <w:tmpl w:val="3F0C0E9E"/>
    <w:lvl w:ilvl="0">
      <w:start w:val="1"/>
      <w:numFmt w:val="upperRoman"/>
      <w:lvlText w:val="%1."/>
      <w:lvlJc w:val="left"/>
      <w:pPr>
        <w:ind w:left="6533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B531E1A"/>
    <w:multiLevelType w:val="hybridMultilevel"/>
    <w:tmpl w:val="BDACF98A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F4806"/>
    <w:multiLevelType w:val="multilevel"/>
    <w:tmpl w:val="7A0C98F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8718C6"/>
    <w:multiLevelType w:val="hybridMultilevel"/>
    <w:tmpl w:val="43FA382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11"/>
  </w:num>
  <w:num w:numId="10">
    <w:abstractNumId w:val="14"/>
  </w:num>
  <w:num w:numId="11">
    <w:abstractNumId w:val="2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18"/>
  </w:num>
  <w:num w:numId="17">
    <w:abstractNumId w:val="20"/>
  </w:num>
  <w:num w:numId="18">
    <w:abstractNumId w:val="16"/>
  </w:num>
  <w:num w:numId="19">
    <w:abstractNumId w:val="9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4"/>
    <w:rsid w:val="001145FF"/>
    <w:rsid w:val="00137F40"/>
    <w:rsid w:val="00147DD2"/>
    <w:rsid w:val="00167E71"/>
    <w:rsid w:val="002D7314"/>
    <w:rsid w:val="00551429"/>
    <w:rsid w:val="006A5777"/>
    <w:rsid w:val="008A10DB"/>
    <w:rsid w:val="0095701C"/>
    <w:rsid w:val="009C6626"/>
    <w:rsid w:val="00BA072F"/>
    <w:rsid w:val="00BD777B"/>
    <w:rsid w:val="00C86634"/>
    <w:rsid w:val="00CE789C"/>
    <w:rsid w:val="00D825A1"/>
    <w:rsid w:val="00DA6965"/>
    <w:rsid w:val="00E278C6"/>
    <w:rsid w:val="00F25292"/>
    <w:rsid w:val="00F34AC5"/>
    <w:rsid w:val="00F6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0A0E70"/>
  <w15:chartTrackingRefBased/>
  <w15:docId w15:val="{64B603DB-1C63-45D8-A314-DD48918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86634"/>
    <w:pPr>
      <w:keepNext/>
      <w:jc w:val="center"/>
      <w:outlineLvl w:val="3"/>
    </w:pPr>
    <w:rPr>
      <w:rFonts w:ascii="Century Gothic" w:hAnsi="Century Gothic" w:cs="Courier New"/>
      <w:b/>
      <w:bCs/>
      <w:color w:val="FF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C86634"/>
    <w:pPr>
      <w:ind w:left="708"/>
    </w:p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6634"/>
    <w:pPr>
      <w:jc w:val="both"/>
    </w:pPr>
    <w:rPr>
      <w:rFonts w:ascii="Arial" w:hAnsi="Arial" w:cs="Arial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C86634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86634"/>
    <w:rPr>
      <w:rFonts w:ascii="Century Gothic" w:eastAsia="Times New Roman" w:hAnsi="Century Gothic" w:cs="Courier New"/>
      <w:b/>
      <w:bCs/>
      <w:color w:val="FF0000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866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66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1145F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customStyle="1" w:styleId="Sinespaciado1">
    <w:name w:val="Sin espaciado1"/>
    <w:qFormat/>
    <w:rsid w:val="00F6278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