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F3B6D" w14:textId="189EF5CA" w:rsidR="009C6626" w:rsidRPr="006A5777" w:rsidRDefault="009C6626" w:rsidP="009C6626">
      <w:pPr>
        <w:jc w:val="center"/>
        <w:rPr>
          <w:rFonts w:ascii="Century Gothic" w:hAnsi="Century Gothic"/>
          <w:b/>
          <w:bCs/>
          <w:sz w:val="22"/>
          <w:szCs w:val="20"/>
        </w:rPr>
      </w:pPr>
      <w:r w:rsidRPr="006A5777">
        <w:rPr>
          <w:rFonts w:ascii="Century Gothic" w:hAnsi="Century Gothic"/>
          <w:b/>
          <w:bCs/>
          <w:sz w:val="22"/>
          <w:szCs w:val="20"/>
        </w:rPr>
        <w:t>Estudio No. 0</w:t>
      </w:r>
      <w:r w:rsidR="00147DD2">
        <w:rPr>
          <w:rFonts w:ascii="Century Gothic" w:hAnsi="Century Gothic"/>
          <w:b/>
          <w:bCs/>
          <w:sz w:val="22"/>
          <w:szCs w:val="20"/>
        </w:rPr>
        <w:t>8</w:t>
      </w:r>
      <w:r w:rsidRPr="006A5777">
        <w:rPr>
          <w:rFonts w:ascii="Century Gothic" w:hAnsi="Century Gothic"/>
          <w:b/>
          <w:bCs/>
          <w:sz w:val="22"/>
          <w:szCs w:val="20"/>
        </w:rPr>
        <w:t>-2021</w:t>
      </w:r>
    </w:p>
    <w:p w14:paraId="6BA38E77" w14:textId="0035550D" w:rsidR="00CE789C" w:rsidRDefault="00147DD2" w:rsidP="009C6626">
      <w:pPr>
        <w:jc w:val="center"/>
        <w:rPr>
          <w:rFonts w:ascii="Century Gothic" w:hAnsi="Century Gothic"/>
          <w:b/>
          <w:bCs/>
          <w:sz w:val="22"/>
          <w:szCs w:val="20"/>
        </w:rPr>
      </w:pPr>
      <w:r w:rsidRPr="00147DD2">
        <w:rPr>
          <w:rFonts w:ascii="Century Gothic" w:hAnsi="Century Gothic"/>
          <w:b/>
          <w:bCs/>
          <w:sz w:val="22"/>
          <w:szCs w:val="20"/>
        </w:rPr>
        <w:t>Acreditaciones que no corresponde del RTR</w:t>
      </w:r>
    </w:p>
    <w:p w14:paraId="190C8DB8" w14:textId="77777777" w:rsidR="00147DD2" w:rsidRPr="00147DD2" w:rsidRDefault="00147DD2" w:rsidP="009C6626">
      <w:pPr>
        <w:jc w:val="center"/>
        <w:rPr>
          <w:rFonts w:ascii="Century Gothic" w:hAnsi="Century Gothic"/>
          <w:b/>
          <w:bCs/>
          <w:sz w:val="22"/>
          <w:szCs w:val="20"/>
        </w:rPr>
      </w:pPr>
    </w:p>
    <w:p w14:paraId="3867667A" w14:textId="77777777" w:rsidR="00147DD2" w:rsidRPr="00147DD2" w:rsidRDefault="00147DD2" w:rsidP="00147DD2">
      <w:pPr>
        <w:numPr>
          <w:ilvl w:val="0"/>
          <w:numId w:val="16"/>
        </w:numPr>
        <w:ind w:left="284" w:right="473" w:hanging="284"/>
        <w:rPr>
          <w:rFonts w:ascii="Century Gothic" w:hAnsi="Century Gothic"/>
          <w:b/>
          <w:sz w:val="22"/>
          <w:szCs w:val="22"/>
        </w:rPr>
      </w:pPr>
      <w:r w:rsidRPr="00147DD2">
        <w:rPr>
          <w:rFonts w:ascii="Century Gothic" w:hAnsi="Century Gothic"/>
          <w:b/>
          <w:sz w:val="22"/>
          <w:szCs w:val="22"/>
        </w:rPr>
        <w:t>Alcance</w:t>
      </w:r>
    </w:p>
    <w:p w14:paraId="71D3236B" w14:textId="77777777" w:rsidR="00147DD2" w:rsidRPr="00147DD2" w:rsidRDefault="00147DD2" w:rsidP="00147DD2">
      <w:pPr>
        <w:jc w:val="both"/>
        <w:rPr>
          <w:rFonts w:ascii="Century Gothic" w:hAnsi="Century Gothic"/>
          <w:sz w:val="22"/>
          <w:szCs w:val="22"/>
          <w:lang w:val="es-MX"/>
        </w:rPr>
      </w:pPr>
      <w:r w:rsidRPr="00147DD2">
        <w:rPr>
          <w:rFonts w:ascii="Century Gothic" w:hAnsi="Century Gothic"/>
          <w:sz w:val="22"/>
          <w:szCs w:val="22"/>
          <w:lang w:val="es-MX"/>
        </w:rPr>
        <w:t>Verificar los controles existentes para la recuperación de las acreditaciones que no corresponden del Régimen Transitorio de Reparto (RTR), del 01/11/2019 al 31/01/2021.</w:t>
      </w:r>
    </w:p>
    <w:p w14:paraId="4C02BC8D" w14:textId="77777777" w:rsidR="00147DD2" w:rsidRPr="00147DD2" w:rsidRDefault="00147DD2" w:rsidP="00147DD2">
      <w:pPr>
        <w:jc w:val="both"/>
        <w:rPr>
          <w:rFonts w:ascii="Century Gothic" w:hAnsi="Century Gothic"/>
          <w:sz w:val="22"/>
          <w:szCs w:val="22"/>
        </w:rPr>
      </w:pPr>
    </w:p>
    <w:p w14:paraId="200850A8" w14:textId="77777777" w:rsidR="00147DD2" w:rsidRPr="00147DD2" w:rsidRDefault="00147DD2" w:rsidP="00147DD2">
      <w:pPr>
        <w:jc w:val="both"/>
        <w:rPr>
          <w:rFonts w:ascii="Century Gothic" w:hAnsi="Century Gothic"/>
          <w:sz w:val="22"/>
          <w:szCs w:val="22"/>
        </w:rPr>
      </w:pPr>
    </w:p>
    <w:p w14:paraId="7A0AF1ED" w14:textId="77777777" w:rsidR="00147DD2" w:rsidRPr="00147DD2" w:rsidRDefault="00147DD2" w:rsidP="00147DD2">
      <w:pPr>
        <w:numPr>
          <w:ilvl w:val="0"/>
          <w:numId w:val="16"/>
        </w:numPr>
        <w:ind w:left="284" w:right="473" w:hanging="284"/>
        <w:rPr>
          <w:rFonts w:ascii="Century Gothic" w:hAnsi="Century Gothic"/>
          <w:b/>
          <w:sz w:val="22"/>
          <w:szCs w:val="22"/>
        </w:rPr>
      </w:pPr>
      <w:r w:rsidRPr="00147DD2">
        <w:rPr>
          <w:rFonts w:ascii="Century Gothic" w:hAnsi="Century Gothic"/>
          <w:b/>
          <w:sz w:val="22"/>
          <w:szCs w:val="22"/>
        </w:rPr>
        <w:t>Objetivos</w:t>
      </w:r>
    </w:p>
    <w:p w14:paraId="10F01A72" w14:textId="77777777" w:rsidR="00147DD2" w:rsidRPr="00147DD2" w:rsidRDefault="00147DD2" w:rsidP="00147DD2">
      <w:pPr>
        <w:pStyle w:val="Prrafodelista"/>
        <w:numPr>
          <w:ilvl w:val="0"/>
          <w:numId w:val="17"/>
        </w:numPr>
        <w:ind w:left="284" w:hanging="284"/>
        <w:contextualSpacing/>
        <w:jc w:val="both"/>
        <w:rPr>
          <w:rFonts w:ascii="Century Gothic" w:hAnsi="Century Gothic"/>
          <w:sz w:val="22"/>
          <w:szCs w:val="22"/>
          <w:lang w:val="es-MX"/>
        </w:rPr>
      </w:pPr>
      <w:r w:rsidRPr="00147DD2">
        <w:rPr>
          <w:rFonts w:ascii="Century Gothic" w:hAnsi="Century Gothic"/>
          <w:sz w:val="22"/>
          <w:szCs w:val="22"/>
          <w:lang w:val="es-MX"/>
        </w:rPr>
        <w:t>Evaluar los procedimientos establecidos por la Administración, para el control y recuperación de sumas acreditadas que no corresponden a los pensionados y jubilados del Régimen Transitorio de Reparto</w:t>
      </w:r>
    </w:p>
    <w:p w14:paraId="663338F1" w14:textId="77777777" w:rsidR="00147DD2" w:rsidRPr="00147DD2" w:rsidRDefault="00147DD2" w:rsidP="00147DD2">
      <w:pPr>
        <w:pStyle w:val="Prrafodelista"/>
        <w:ind w:left="284"/>
        <w:jc w:val="both"/>
        <w:rPr>
          <w:sz w:val="18"/>
          <w:szCs w:val="18"/>
          <w:lang w:val="es-MX"/>
        </w:rPr>
      </w:pPr>
      <w:r w:rsidRPr="00147DD2">
        <w:rPr>
          <w:rFonts w:ascii="Century Gothic" w:hAnsi="Century Gothic"/>
          <w:sz w:val="22"/>
          <w:szCs w:val="22"/>
        </w:rPr>
        <w:t xml:space="preserve">   </w:t>
      </w:r>
    </w:p>
    <w:p w14:paraId="561C51DD" w14:textId="77777777" w:rsidR="00147DD2" w:rsidRPr="00147DD2" w:rsidRDefault="00147DD2" w:rsidP="00147DD2">
      <w:pPr>
        <w:pStyle w:val="Prrafodelista"/>
        <w:numPr>
          <w:ilvl w:val="0"/>
          <w:numId w:val="17"/>
        </w:numPr>
        <w:ind w:left="284" w:hanging="284"/>
        <w:contextualSpacing/>
        <w:jc w:val="both"/>
        <w:rPr>
          <w:rFonts w:ascii="Century Gothic" w:hAnsi="Century Gothic"/>
          <w:bCs/>
          <w:sz w:val="22"/>
          <w:szCs w:val="22"/>
          <w:lang w:val="es-MX"/>
        </w:rPr>
      </w:pPr>
      <w:r w:rsidRPr="00147DD2">
        <w:rPr>
          <w:rFonts w:ascii="Century Gothic" w:hAnsi="Century Gothic"/>
          <w:sz w:val="22"/>
          <w:szCs w:val="22"/>
          <w:lang w:val="es-MX"/>
        </w:rPr>
        <w:t>Comprobar la exactitud, integridad y consistencia de la información ingresada en la base de datos, con respecto a las acreditaciones que no corresponden del RTR.</w:t>
      </w:r>
    </w:p>
    <w:p w14:paraId="177D5CBC" w14:textId="77777777" w:rsidR="00147DD2" w:rsidRPr="00147DD2" w:rsidRDefault="00147DD2" w:rsidP="00147DD2">
      <w:pPr>
        <w:jc w:val="both"/>
        <w:rPr>
          <w:sz w:val="18"/>
          <w:szCs w:val="18"/>
          <w:lang w:val="es-MX"/>
        </w:rPr>
      </w:pPr>
    </w:p>
    <w:p w14:paraId="3F5B5CC8" w14:textId="77777777" w:rsidR="00147DD2" w:rsidRPr="00147DD2" w:rsidRDefault="00147DD2" w:rsidP="00147DD2">
      <w:pPr>
        <w:pStyle w:val="Prrafodelista"/>
        <w:numPr>
          <w:ilvl w:val="0"/>
          <w:numId w:val="17"/>
        </w:numPr>
        <w:ind w:left="284" w:hanging="284"/>
        <w:contextualSpacing/>
        <w:jc w:val="both"/>
        <w:rPr>
          <w:rFonts w:ascii="Century Gothic" w:hAnsi="Century Gothic"/>
          <w:sz w:val="22"/>
          <w:szCs w:val="22"/>
          <w:lang w:val="es-MX"/>
        </w:rPr>
      </w:pPr>
      <w:r w:rsidRPr="00147DD2">
        <w:rPr>
          <w:rFonts w:ascii="Century Gothic" w:hAnsi="Century Gothic"/>
          <w:sz w:val="22"/>
          <w:szCs w:val="22"/>
          <w:lang w:val="es-MX"/>
        </w:rPr>
        <w:t>Validar</w:t>
      </w:r>
      <w:r w:rsidRPr="00147DD2">
        <w:rPr>
          <w:rFonts w:ascii="Century Gothic" w:hAnsi="Century Gothic"/>
          <w:sz w:val="22"/>
          <w:szCs w:val="22"/>
        </w:rPr>
        <w:t xml:space="preserve"> </w:t>
      </w:r>
      <w:r w:rsidRPr="00147DD2">
        <w:rPr>
          <w:rFonts w:ascii="Century Gothic" w:hAnsi="Century Gothic"/>
          <w:sz w:val="22"/>
          <w:szCs w:val="22"/>
          <w:lang w:val="es-MX"/>
        </w:rPr>
        <w:t xml:space="preserve">el cumplimiento de la normativa vigente, con respecto al tema bajo estudio. </w:t>
      </w:r>
    </w:p>
    <w:p w14:paraId="2F033F3F" w14:textId="77777777" w:rsidR="00147DD2" w:rsidRPr="00147DD2" w:rsidRDefault="00147DD2" w:rsidP="00147DD2">
      <w:pPr>
        <w:jc w:val="both"/>
        <w:rPr>
          <w:sz w:val="22"/>
          <w:szCs w:val="22"/>
          <w:lang w:val="es-MX"/>
        </w:rPr>
      </w:pPr>
    </w:p>
    <w:p w14:paraId="2A9E1E84" w14:textId="77777777" w:rsidR="00147DD2" w:rsidRPr="00147DD2" w:rsidRDefault="00147DD2" w:rsidP="00147DD2">
      <w:pPr>
        <w:jc w:val="both"/>
        <w:rPr>
          <w:sz w:val="22"/>
          <w:szCs w:val="22"/>
          <w:lang w:val="es-MX"/>
        </w:rPr>
      </w:pPr>
    </w:p>
    <w:p w14:paraId="0F058480" w14:textId="77777777" w:rsidR="00147DD2" w:rsidRPr="00147DD2" w:rsidRDefault="00147DD2" w:rsidP="00147DD2">
      <w:pPr>
        <w:numPr>
          <w:ilvl w:val="0"/>
          <w:numId w:val="16"/>
        </w:numPr>
        <w:ind w:left="284" w:right="473" w:hanging="284"/>
        <w:rPr>
          <w:rFonts w:ascii="Century Gothic" w:hAnsi="Century Gothic"/>
          <w:b/>
          <w:sz w:val="22"/>
          <w:szCs w:val="22"/>
        </w:rPr>
      </w:pPr>
      <w:r w:rsidRPr="00147DD2">
        <w:rPr>
          <w:rFonts w:ascii="Century Gothic" w:hAnsi="Century Gothic"/>
          <w:b/>
          <w:sz w:val="22"/>
          <w:szCs w:val="22"/>
        </w:rPr>
        <w:t>Resultados Obtenidos</w:t>
      </w:r>
    </w:p>
    <w:p w14:paraId="61B8CE1B" w14:textId="77777777" w:rsidR="00147DD2" w:rsidRPr="00147DD2" w:rsidRDefault="00147DD2" w:rsidP="00147DD2">
      <w:pPr>
        <w:ind w:right="49"/>
        <w:jc w:val="both"/>
        <w:rPr>
          <w:rFonts w:ascii="Century Gothic" w:hAnsi="Century Gothic"/>
          <w:b/>
          <w:sz w:val="22"/>
          <w:szCs w:val="22"/>
        </w:rPr>
      </w:pPr>
      <w:r w:rsidRPr="00147DD2">
        <w:rPr>
          <w:rFonts w:ascii="Century Gothic" w:hAnsi="Century Gothic"/>
          <w:bCs/>
          <w:sz w:val="22"/>
          <w:szCs w:val="22"/>
        </w:rPr>
        <w:t>De conformidad con los objetivos propuestos para esta revisión:</w:t>
      </w:r>
      <w:r w:rsidRPr="00147DD2">
        <w:rPr>
          <w:rFonts w:ascii="Century Gothic" w:hAnsi="Century Gothic"/>
          <w:b/>
          <w:sz w:val="22"/>
          <w:szCs w:val="22"/>
        </w:rPr>
        <w:t xml:space="preserve"> </w:t>
      </w:r>
    </w:p>
    <w:p w14:paraId="09C7D713" w14:textId="77777777" w:rsidR="00147DD2" w:rsidRPr="00147DD2" w:rsidRDefault="00147DD2" w:rsidP="00147DD2">
      <w:pPr>
        <w:ind w:right="49"/>
        <w:jc w:val="both"/>
        <w:rPr>
          <w:rFonts w:ascii="Century Gothic" w:hAnsi="Century Gothic"/>
          <w:bCs/>
          <w:sz w:val="22"/>
          <w:szCs w:val="22"/>
        </w:rPr>
      </w:pPr>
    </w:p>
    <w:p w14:paraId="5292B1A4" w14:textId="77777777" w:rsidR="00147DD2" w:rsidRPr="00147DD2" w:rsidRDefault="00147DD2" w:rsidP="00147DD2">
      <w:pPr>
        <w:pStyle w:val="Prrafodelista"/>
        <w:numPr>
          <w:ilvl w:val="0"/>
          <w:numId w:val="18"/>
        </w:numPr>
        <w:ind w:left="426" w:right="49"/>
        <w:contextualSpacing/>
        <w:jc w:val="both"/>
        <w:rPr>
          <w:rFonts w:ascii="Century Gothic" w:hAnsi="Century Gothic"/>
          <w:bCs/>
          <w:sz w:val="22"/>
          <w:szCs w:val="22"/>
        </w:rPr>
      </w:pPr>
      <w:r w:rsidRPr="00147DD2">
        <w:rPr>
          <w:rFonts w:ascii="Century Gothic" w:hAnsi="Century Gothic"/>
          <w:bCs/>
          <w:sz w:val="22"/>
          <w:szCs w:val="22"/>
        </w:rPr>
        <w:t>Se revisaron 339 casos de pensionados y jubilados del RTR, para verificar el cumplimiento de los procedimientos establecidos para el control y recuperación de sumas acreditadas que no corresponden, determinándose oportunidades de mejora, que fueron comunicadas oportunamente a la Administración.</w:t>
      </w:r>
    </w:p>
    <w:p w14:paraId="60B5D431" w14:textId="77777777" w:rsidR="00147DD2" w:rsidRPr="00147DD2" w:rsidRDefault="00147DD2" w:rsidP="00147DD2">
      <w:pPr>
        <w:pStyle w:val="Prrafodelista"/>
        <w:ind w:left="426" w:right="49"/>
        <w:jc w:val="both"/>
        <w:rPr>
          <w:rFonts w:ascii="Century Gothic" w:hAnsi="Century Gothic"/>
          <w:bCs/>
          <w:sz w:val="22"/>
          <w:szCs w:val="22"/>
          <w:highlight w:val="magenta"/>
        </w:rPr>
      </w:pPr>
    </w:p>
    <w:p w14:paraId="3A9A400E" w14:textId="77777777" w:rsidR="00147DD2" w:rsidRPr="00147DD2" w:rsidRDefault="00147DD2" w:rsidP="00147DD2">
      <w:pPr>
        <w:pStyle w:val="Prrafodelista"/>
        <w:numPr>
          <w:ilvl w:val="0"/>
          <w:numId w:val="18"/>
        </w:numPr>
        <w:ind w:left="426" w:right="49"/>
        <w:contextualSpacing/>
        <w:jc w:val="both"/>
        <w:rPr>
          <w:rFonts w:ascii="Century Gothic" w:hAnsi="Century Gothic"/>
          <w:bCs/>
          <w:sz w:val="22"/>
          <w:szCs w:val="22"/>
        </w:rPr>
      </w:pPr>
      <w:r w:rsidRPr="00147DD2">
        <w:rPr>
          <w:rFonts w:ascii="Century Gothic" w:hAnsi="Century Gothic"/>
          <w:bCs/>
          <w:sz w:val="22"/>
          <w:szCs w:val="22"/>
        </w:rPr>
        <w:t>Para la muestra seleccionada, se corroboró la información ingresada en la base de datos del sistema de ‘Pensiones RTR’, con respecto al estado de vida, la actualización de los datos personales, el tipo y los movimientos de la pensión, entre otros, observándose aspectos que fueron comunicados a la Administración para su corrección.</w:t>
      </w:r>
    </w:p>
    <w:p w14:paraId="4A983446" w14:textId="77777777" w:rsidR="00147DD2" w:rsidRPr="00147DD2" w:rsidRDefault="00147DD2" w:rsidP="00147DD2">
      <w:pPr>
        <w:pStyle w:val="Prrafodelista"/>
        <w:ind w:left="426"/>
        <w:rPr>
          <w:rFonts w:ascii="Century Gothic" w:hAnsi="Century Gothic"/>
          <w:bCs/>
          <w:sz w:val="22"/>
          <w:szCs w:val="22"/>
          <w:highlight w:val="magenta"/>
        </w:rPr>
      </w:pPr>
    </w:p>
    <w:p w14:paraId="4C1A3D71" w14:textId="77777777" w:rsidR="00147DD2" w:rsidRPr="00147DD2" w:rsidRDefault="00147DD2" w:rsidP="00147DD2">
      <w:pPr>
        <w:pStyle w:val="Prrafodelista"/>
        <w:numPr>
          <w:ilvl w:val="0"/>
          <w:numId w:val="18"/>
        </w:numPr>
        <w:ind w:left="426" w:right="49"/>
        <w:contextualSpacing/>
        <w:jc w:val="both"/>
        <w:rPr>
          <w:rFonts w:ascii="Century Gothic" w:hAnsi="Century Gothic"/>
          <w:bCs/>
          <w:sz w:val="22"/>
          <w:szCs w:val="22"/>
        </w:rPr>
      </w:pPr>
      <w:r w:rsidRPr="00147DD2">
        <w:rPr>
          <w:rFonts w:ascii="Century Gothic" w:hAnsi="Century Gothic"/>
          <w:bCs/>
          <w:sz w:val="22"/>
          <w:szCs w:val="22"/>
        </w:rPr>
        <w:t>De conformidad con la información disponible y analizada, se estableció que las 11 recomendaciones dadas por la Dirección de Control de Operaciones y Fiscalización del Ministerio de Hacienda, en el oficio DCOF-FIS-001-2017 del 31/01/2017, están ejecutadas, de las cuales 5 son recomendaciones de ejecución permanente.</w:t>
      </w:r>
    </w:p>
    <w:p w14:paraId="25B3F3FD" w14:textId="77777777" w:rsidR="00147DD2" w:rsidRPr="00147DD2" w:rsidRDefault="00147DD2" w:rsidP="00147DD2">
      <w:pPr>
        <w:pStyle w:val="Prrafodelista"/>
        <w:ind w:left="426"/>
        <w:rPr>
          <w:rFonts w:ascii="Century Gothic" w:hAnsi="Century Gothic"/>
          <w:bCs/>
          <w:sz w:val="22"/>
          <w:szCs w:val="22"/>
        </w:rPr>
      </w:pPr>
    </w:p>
    <w:p w14:paraId="03A405E2" w14:textId="77777777" w:rsidR="00147DD2" w:rsidRPr="005B5B43" w:rsidRDefault="00147DD2" w:rsidP="00147DD2">
      <w:pPr>
        <w:pStyle w:val="Prrafodelista"/>
        <w:numPr>
          <w:ilvl w:val="0"/>
          <w:numId w:val="18"/>
        </w:numPr>
        <w:ind w:left="426" w:right="49"/>
        <w:contextualSpacing/>
        <w:jc w:val="both"/>
        <w:rPr>
          <w:rFonts w:ascii="Century Gothic" w:hAnsi="Century Gothic"/>
          <w:bCs/>
          <w:sz w:val="22"/>
          <w:szCs w:val="22"/>
        </w:rPr>
      </w:pPr>
      <w:r w:rsidRPr="00147DD2">
        <w:rPr>
          <w:rFonts w:ascii="Century Gothic" w:hAnsi="Century Gothic"/>
          <w:bCs/>
          <w:sz w:val="22"/>
          <w:szCs w:val="22"/>
        </w:rPr>
        <w:t xml:space="preserve">Se validó el cumplimiento de la normativa relacionada con acreditaciones que no corresponden, sin determinarse otros aspectos que </w:t>
      </w:r>
      <w:r w:rsidRPr="005B5B43">
        <w:rPr>
          <w:rFonts w:ascii="Century Gothic" w:hAnsi="Century Gothic"/>
          <w:bCs/>
          <w:sz w:val="22"/>
          <w:szCs w:val="22"/>
        </w:rPr>
        <w:t xml:space="preserve">comunicar. </w:t>
      </w:r>
    </w:p>
    <w:p w14:paraId="2D59EEA2" w14:textId="7170BEE3" w:rsidR="009C6626" w:rsidRDefault="009C6626" w:rsidP="009C6626">
      <w:pPr>
        <w:jc w:val="both"/>
      </w:pPr>
    </w:p>
    <w:p w14:paraId="03F6040F" w14:textId="078E7485" w:rsidR="009C6626" w:rsidRPr="006A5777" w:rsidRDefault="009C6626" w:rsidP="00F25292">
      <w:pPr>
        <w:jc w:val="both"/>
        <w:rPr>
          <w:rFonts w:ascii="Century Gothic" w:hAnsi="Century Gothic"/>
          <w:b/>
          <w:bCs/>
          <w:sz w:val="22"/>
          <w:szCs w:val="22"/>
        </w:rPr>
      </w:pPr>
      <w:r w:rsidRPr="006A5777">
        <w:rPr>
          <w:rFonts w:ascii="Century Gothic" w:hAnsi="Century Gothic"/>
          <w:sz w:val="22"/>
          <w:szCs w:val="22"/>
        </w:rPr>
        <w:t xml:space="preserve">Esta revisión fue aprobada en la Sesión Ordinaria No. </w:t>
      </w:r>
      <w:r w:rsidR="00137F40" w:rsidRPr="006A5777">
        <w:rPr>
          <w:rFonts w:ascii="Century Gothic" w:hAnsi="Century Gothic"/>
          <w:sz w:val="22"/>
          <w:szCs w:val="22"/>
        </w:rPr>
        <w:t>043</w:t>
      </w:r>
      <w:r w:rsidRPr="006A5777">
        <w:rPr>
          <w:rFonts w:ascii="Century Gothic" w:hAnsi="Century Gothic"/>
          <w:sz w:val="22"/>
          <w:szCs w:val="22"/>
        </w:rPr>
        <w:t xml:space="preserve">-2021 del </w:t>
      </w:r>
      <w:r w:rsidR="00137F40" w:rsidRPr="006A5777">
        <w:rPr>
          <w:rFonts w:ascii="Century Gothic" w:hAnsi="Century Gothic"/>
          <w:sz w:val="22"/>
          <w:szCs w:val="22"/>
        </w:rPr>
        <w:t>22 de abril</w:t>
      </w:r>
      <w:r w:rsidRPr="006A5777">
        <w:rPr>
          <w:rFonts w:ascii="Century Gothic" w:hAnsi="Century Gothic"/>
          <w:sz w:val="22"/>
          <w:szCs w:val="22"/>
        </w:rPr>
        <w:t xml:space="preserve"> de 2021.</w:t>
      </w:r>
    </w:p>
    <w:sectPr w:rsidR="009C6626" w:rsidRPr="006A57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104E"/>
    <w:multiLevelType w:val="hybridMultilevel"/>
    <w:tmpl w:val="2840635A"/>
    <w:lvl w:ilvl="0" w:tplc="D2D6E4C4">
      <w:start w:val="1"/>
      <w:numFmt w:val="decimal"/>
      <w:lvlText w:val="%1."/>
      <w:lvlJc w:val="left"/>
      <w:pPr>
        <w:ind w:left="1440" w:hanging="360"/>
      </w:pPr>
      <w:rPr>
        <w:rFonts w:hint="default"/>
        <w:b w:val="0"/>
        <w:bCs w:val="0"/>
        <w:color w:val="auto"/>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52D3909"/>
    <w:multiLevelType w:val="hybridMultilevel"/>
    <w:tmpl w:val="8530FF3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2" w15:restartNumberingAfterBreak="0">
    <w:nsid w:val="07FD3178"/>
    <w:multiLevelType w:val="hybridMultilevel"/>
    <w:tmpl w:val="EE26CA3E"/>
    <w:lvl w:ilvl="0" w:tplc="2F9AB54C">
      <w:start w:val="1"/>
      <w:numFmt w:val="decimal"/>
      <w:lvlText w:val="%1."/>
      <w:lvlJc w:val="left"/>
      <w:pPr>
        <w:ind w:left="720" w:hanging="360"/>
      </w:pPr>
      <w:rPr>
        <w:b w:val="0"/>
      </w:rPr>
    </w:lvl>
    <w:lvl w:ilvl="1" w:tplc="3F8AF8C8">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D174C60"/>
    <w:multiLevelType w:val="hybridMultilevel"/>
    <w:tmpl w:val="63A6749A"/>
    <w:lvl w:ilvl="0" w:tplc="02B08198">
      <w:start w:val="1"/>
      <w:numFmt w:val="bullet"/>
      <w:lvlText w:val=""/>
      <w:lvlJc w:val="left"/>
      <w:pPr>
        <w:ind w:left="360" w:hanging="360"/>
      </w:pPr>
      <w:rPr>
        <w:rFonts w:ascii="Wingdings" w:hAnsi="Wingdings" w:hint="default"/>
        <w:b w:val="0"/>
        <w:i w:val="0"/>
        <w:color w:val="auto"/>
        <w:sz w:val="24"/>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227049C"/>
    <w:multiLevelType w:val="multilevel"/>
    <w:tmpl w:val="D3FE70A6"/>
    <w:lvl w:ilvl="0">
      <w:start w:val="1"/>
      <w:numFmt w:val="upperRoman"/>
      <w:lvlText w:val="%1."/>
      <w:lvlJc w:val="left"/>
      <w:pPr>
        <w:tabs>
          <w:tab w:val="num" w:pos="720"/>
        </w:tabs>
        <w:ind w:left="720" w:hanging="720"/>
      </w:pPr>
      <w:rPr>
        <w:rFonts w:hint="default"/>
        <w:b/>
        <w:i w:val="0"/>
        <w:color w:val="auto"/>
        <w:sz w:val="22"/>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8538A9"/>
    <w:multiLevelType w:val="hybridMultilevel"/>
    <w:tmpl w:val="31BEB9AA"/>
    <w:lvl w:ilvl="0" w:tplc="210E5F7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9862BC6"/>
    <w:multiLevelType w:val="multilevel"/>
    <w:tmpl w:val="2F32EBFE"/>
    <w:lvl w:ilvl="0">
      <w:start w:val="1"/>
      <w:numFmt w:val="upperRoman"/>
      <w:lvlText w:val="%1."/>
      <w:lvlJc w:val="right"/>
      <w:pPr>
        <w:ind w:left="720" w:hanging="360"/>
      </w:pPr>
      <w:rPr>
        <w:b/>
        <w:color w:val="auto"/>
      </w:rPr>
    </w:lvl>
    <w:lvl w:ilvl="1">
      <w:start w:val="4"/>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440" w:hanging="108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1800" w:hanging="1440"/>
      </w:pPr>
      <w:rPr>
        <w:rFonts w:hint="default"/>
        <w:b w:val="0"/>
        <w:color w:val="000000"/>
      </w:rPr>
    </w:lvl>
  </w:abstractNum>
  <w:abstractNum w:abstractNumId="7" w15:restartNumberingAfterBreak="0">
    <w:nsid w:val="31651CFA"/>
    <w:multiLevelType w:val="multilevel"/>
    <w:tmpl w:val="F91A13A4"/>
    <w:lvl w:ilvl="0">
      <w:start w:val="1"/>
      <w:numFmt w:val="decimal"/>
      <w:lvlText w:val="%1."/>
      <w:lvlJc w:val="left"/>
      <w:pPr>
        <w:ind w:left="720" w:hanging="360"/>
      </w:pPr>
      <w:rPr>
        <w:b/>
        <w:bCs/>
        <w:color w:val="auto"/>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8B060B"/>
    <w:multiLevelType w:val="hybridMultilevel"/>
    <w:tmpl w:val="1D489F2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CB05C0D"/>
    <w:multiLevelType w:val="hybridMultilevel"/>
    <w:tmpl w:val="9A8EAF16"/>
    <w:lvl w:ilvl="0" w:tplc="308CD73C">
      <w:start w:val="1"/>
      <w:numFmt w:val="bullet"/>
      <w:lvlText w:val=""/>
      <w:lvlJc w:val="left"/>
      <w:pPr>
        <w:ind w:left="720" w:hanging="360"/>
      </w:pPr>
      <w:rPr>
        <w:rFonts w:ascii="Wingdings" w:hAnsi="Wingdings" w:hint="default"/>
        <w:sz w:val="20"/>
        <w:szCs w:val="20"/>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0C601F"/>
    <w:multiLevelType w:val="hybridMultilevel"/>
    <w:tmpl w:val="AEE05DF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1" w15:restartNumberingAfterBreak="0">
    <w:nsid w:val="4E1F2FCD"/>
    <w:multiLevelType w:val="hybridMultilevel"/>
    <w:tmpl w:val="FDA427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5DB7B07"/>
    <w:multiLevelType w:val="hybridMultilevel"/>
    <w:tmpl w:val="5406D73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70351A3"/>
    <w:multiLevelType w:val="hybridMultilevel"/>
    <w:tmpl w:val="43F8ED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cs="Wingdings" w:hint="default"/>
      </w:rPr>
    </w:lvl>
    <w:lvl w:ilvl="3" w:tplc="140A0001" w:tentative="1">
      <w:start w:val="1"/>
      <w:numFmt w:val="bullet"/>
      <w:lvlText w:val=""/>
      <w:lvlJc w:val="left"/>
      <w:pPr>
        <w:ind w:left="2880" w:hanging="360"/>
      </w:pPr>
      <w:rPr>
        <w:rFonts w:ascii="Symbol" w:hAnsi="Symbol" w:cs="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cs="Wingdings" w:hint="default"/>
      </w:rPr>
    </w:lvl>
    <w:lvl w:ilvl="6" w:tplc="140A0001" w:tentative="1">
      <w:start w:val="1"/>
      <w:numFmt w:val="bullet"/>
      <w:lvlText w:val=""/>
      <w:lvlJc w:val="left"/>
      <w:pPr>
        <w:ind w:left="5040" w:hanging="360"/>
      </w:pPr>
      <w:rPr>
        <w:rFonts w:ascii="Symbol" w:hAnsi="Symbol" w:cs="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E47B8E"/>
    <w:multiLevelType w:val="multilevel"/>
    <w:tmpl w:val="3F0C0E9E"/>
    <w:lvl w:ilvl="0">
      <w:start w:val="1"/>
      <w:numFmt w:val="upperRoman"/>
      <w:lvlText w:val="%1."/>
      <w:lvlJc w:val="left"/>
      <w:pPr>
        <w:ind w:left="6533" w:hanging="720"/>
      </w:pPr>
      <w:rPr>
        <w:rFonts w:hint="default"/>
        <w:color w:val="1F3864" w:themeColor="accent1" w:themeShade="8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531E1A"/>
    <w:multiLevelType w:val="hybridMultilevel"/>
    <w:tmpl w:val="BDACF98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F1F4806"/>
    <w:multiLevelType w:val="multilevel"/>
    <w:tmpl w:val="7A0C98F0"/>
    <w:lvl w:ilvl="0">
      <w:start w:val="1"/>
      <w:numFmt w:val="decimal"/>
      <w:lvlText w:val="%1."/>
      <w:lvlJc w:val="left"/>
      <w:pPr>
        <w:ind w:left="720" w:hanging="360"/>
      </w:pPr>
      <w:rPr>
        <w:rFonts w:ascii="Century Gothic" w:hAnsi="Century Gothic" w:hint="default"/>
        <w:sz w:val="22"/>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8718C6"/>
    <w:multiLevelType w:val="hybridMultilevel"/>
    <w:tmpl w:val="43FA382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5"/>
  </w:num>
  <w:num w:numId="4">
    <w:abstractNumId w:val="6"/>
  </w:num>
  <w:num w:numId="5">
    <w:abstractNumId w:val="7"/>
  </w:num>
  <w:num w:numId="6">
    <w:abstractNumId w:val="10"/>
  </w:num>
  <w:num w:numId="7">
    <w:abstractNumId w:val="1"/>
  </w:num>
  <w:num w:numId="8">
    <w:abstractNumId w:val="4"/>
  </w:num>
  <w:num w:numId="9">
    <w:abstractNumId w:val="8"/>
  </w:num>
  <w:num w:numId="10">
    <w:abstractNumId w:val="11"/>
  </w:num>
  <w:num w:numId="11">
    <w:abstractNumId w:val="2"/>
  </w:num>
  <w:num w:numId="12">
    <w:abstractNumId w:val="3"/>
  </w:num>
  <w:num w:numId="13">
    <w:abstractNumId w:val="12"/>
  </w:num>
  <w:num w:numId="14">
    <w:abstractNumId w:val="9"/>
  </w:num>
  <w:num w:numId="15">
    <w:abstractNumId w:val="0"/>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34"/>
    <w:rsid w:val="001145FF"/>
    <w:rsid w:val="00137F40"/>
    <w:rsid w:val="00147DD2"/>
    <w:rsid w:val="002D7314"/>
    <w:rsid w:val="00551429"/>
    <w:rsid w:val="006A5777"/>
    <w:rsid w:val="006D55A0"/>
    <w:rsid w:val="0095701C"/>
    <w:rsid w:val="009C6626"/>
    <w:rsid w:val="00BA072F"/>
    <w:rsid w:val="00BD777B"/>
    <w:rsid w:val="00C86634"/>
    <w:rsid w:val="00CE789C"/>
    <w:rsid w:val="00D825A1"/>
    <w:rsid w:val="00DA6965"/>
    <w:rsid w:val="00E278C6"/>
    <w:rsid w:val="00F25292"/>
    <w:rsid w:val="00F34A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0E70"/>
  <w15:chartTrackingRefBased/>
  <w15:docId w15:val="{64B603DB-1C63-45D8-A314-DD489181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34"/>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C86634"/>
    <w:pPr>
      <w:keepNext/>
      <w:jc w:val="center"/>
      <w:outlineLvl w:val="3"/>
    </w:pPr>
    <w:rPr>
      <w:rFonts w:ascii="Century Gothic" w:hAnsi="Century Gothic" w:cs="Courier New"/>
      <w:b/>
      <w:bCs/>
      <w:color w:val="FF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nforme"/>
    <w:basedOn w:val="Normal"/>
    <w:link w:val="PrrafodelistaCar"/>
    <w:uiPriority w:val="34"/>
    <w:qFormat/>
    <w:rsid w:val="00C86634"/>
    <w:pPr>
      <w:ind w:left="708"/>
    </w:pPr>
  </w:style>
  <w:style w:type="character" w:customStyle="1" w:styleId="PrrafodelistaCar">
    <w:name w:val="Párrafo de lista Car"/>
    <w:aliases w:val="Informe Car"/>
    <w:link w:val="Prrafodelista"/>
    <w:uiPriority w:val="34"/>
    <w:locked/>
    <w:rsid w:val="00C8663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6634"/>
    <w:pPr>
      <w:jc w:val="both"/>
    </w:pPr>
    <w:rPr>
      <w:rFonts w:ascii="Arial" w:hAnsi="Arial" w:cs="Arial"/>
      <w:color w:val="000000"/>
    </w:rPr>
  </w:style>
  <w:style w:type="character" w:customStyle="1" w:styleId="TextoindependienteCar">
    <w:name w:val="Texto independiente Car"/>
    <w:basedOn w:val="Fuentedeprrafopredeter"/>
    <w:link w:val="Textoindependiente"/>
    <w:rsid w:val="00C86634"/>
    <w:rPr>
      <w:rFonts w:ascii="Arial" w:eastAsia="Times New Roman" w:hAnsi="Arial" w:cs="Arial"/>
      <w:color w:val="000000"/>
      <w:sz w:val="24"/>
      <w:szCs w:val="24"/>
      <w:lang w:val="es-ES" w:eastAsia="es-ES"/>
    </w:rPr>
  </w:style>
  <w:style w:type="character" w:customStyle="1" w:styleId="Ttulo4Car">
    <w:name w:val="Título 4 Car"/>
    <w:basedOn w:val="Fuentedeprrafopredeter"/>
    <w:link w:val="Ttulo4"/>
    <w:rsid w:val="00C86634"/>
    <w:rPr>
      <w:rFonts w:ascii="Century Gothic" w:eastAsia="Times New Roman" w:hAnsi="Century Gothic" w:cs="Courier New"/>
      <w:b/>
      <w:bCs/>
      <w:color w:val="FF0000"/>
      <w:sz w:val="20"/>
      <w:szCs w:val="24"/>
      <w:lang w:val="es-ES" w:eastAsia="es-ES"/>
    </w:rPr>
  </w:style>
  <w:style w:type="paragraph" w:styleId="Encabezado">
    <w:name w:val="header"/>
    <w:basedOn w:val="Normal"/>
    <w:link w:val="EncabezadoCar"/>
    <w:uiPriority w:val="99"/>
    <w:unhideWhenUsed/>
    <w:rsid w:val="00C86634"/>
    <w:pPr>
      <w:tabs>
        <w:tab w:val="center" w:pos="4419"/>
        <w:tab w:val="right" w:pos="8838"/>
      </w:tabs>
    </w:pPr>
  </w:style>
  <w:style w:type="character" w:customStyle="1" w:styleId="EncabezadoCar">
    <w:name w:val="Encabezado Car"/>
    <w:basedOn w:val="Fuentedeprrafopredeter"/>
    <w:link w:val="Encabezado"/>
    <w:uiPriority w:val="99"/>
    <w:rsid w:val="00C86634"/>
    <w:rPr>
      <w:rFonts w:ascii="Times New Roman" w:eastAsia="Times New Roman" w:hAnsi="Times New Roman" w:cs="Times New Roman"/>
      <w:sz w:val="24"/>
      <w:szCs w:val="24"/>
      <w:lang w:val="es-ES" w:eastAsia="es-ES"/>
    </w:rPr>
  </w:style>
  <w:style w:type="paragraph" w:customStyle="1" w:styleId="Default">
    <w:name w:val="Default"/>
    <w:rsid w:val="001145FF"/>
    <w:pPr>
      <w:autoSpaceDE w:val="0"/>
      <w:autoSpaceDN w:val="0"/>
      <w:adjustRightInd w:val="0"/>
      <w:spacing w:after="0" w:line="240" w:lineRule="auto"/>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