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F3B6D" w14:textId="030EC4B2" w:rsidR="009C6626" w:rsidRPr="00137F40" w:rsidRDefault="009C6626" w:rsidP="009C6626">
      <w:pPr>
        <w:jc w:val="center"/>
        <w:rPr>
          <w:rFonts w:ascii="Century Gothic" w:hAnsi="Century Gothic"/>
          <w:b/>
          <w:bCs/>
          <w:sz w:val="22"/>
          <w:szCs w:val="20"/>
        </w:rPr>
      </w:pPr>
      <w:r w:rsidRPr="00137F40">
        <w:rPr>
          <w:rFonts w:ascii="Century Gothic" w:hAnsi="Century Gothic"/>
          <w:b/>
          <w:bCs/>
          <w:sz w:val="22"/>
          <w:szCs w:val="20"/>
        </w:rPr>
        <w:t>Estudio No. 0</w:t>
      </w:r>
      <w:r w:rsidR="00137F40" w:rsidRPr="00137F40">
        <w:rPr>
          <w:rFonts w:ascii="Century Gothic" w:hAnsi="Century Gothic"/>
          <w:b/>
          <w:bCs/>
          <w:sz w:val="22"/>
          <w:szCs w:val="20"/>
        </w:rPr>
        <w:t>1</w:t>
      </w:r>
      <w:r w:rsidRPr="00137F40">
        <w:rPr>
          <w:rFonts w:ascii="Century Gothic" w:hAnsi="Century Gothic"/>
          <w:b/>
          <w:bCs/>
          <w:sz w:val="22"/>
          <w:szCs w:val="20"/>
        </w:rPr>
        <w:t>-2021</w:t>
      </w:r>
    </w:p>
    <w:p w14:paraId="5E17FE2D" w14:textId="085A8E5A" w:rsidR="009C6626" w:rsidRPr="00137F40" w:rsidRDefault="00137F40" w:rsidP="009C6626">
      <w:pPr>
        <w:jc w:val="center"/>
        <w:rPr>
          <w:rFonts w:ascii="Century Gothic" w:hAnsi="Century Gothic"/>
          <w:b/>
          <w:bCs/>
          <w:sz w:val="22"/>
          <w:szCs w:val="20"/>
        </w:rPr>
      </w:pPr>
      <w:r w:rsidRPr="00137F40">
        <w:rPr>
          <w:rFonts w:ascii="Century Gothic" w:hAnsi="Century Gothic"/>
          <w:b/>
          <w:bCs/>
          <w:sz w:val="22"/>
          <w:szCs w:val="20"/>
        </w:rPr>
        <w:t>Cartera de Inversiones - Revisión de Fondos Inmobiliarios</w:t>
      </w:r>
    </w:p>
    <w:p w14:paraId="1513D5C2" w14:textId="77777777" w:rsidR="00137F40" w:rsidRPr="00137F40" w:rsidRDefault="00137F40" w:rsidP="009C6626">
      <w:pPr>
        <w:jc w:val="center"/>
        <w:rPr>
          <w:rFonts w:ascii="Century Gothic" w:hAnsi="Century Gothic"/>
          <w:b/>
          <w:bCs/>
          <w:sz w:val="22"/>
          <w:szCs w:val="20"/>
        </w:rPr>
      </w:pPr>
    </w:p>
    <w:p w14:paraId="4813249C" w14:textId="77777777" w:rsidR="001145FF" w:rsidRPr="00137F40" w:rsidRDefault="001145FF" w:rsidP="001145FF">
      <w:pPr>
        <w:numPr>
          <w:ilvl w:val="0"/>
          <w:numId w:val="8"/>
        </w:numPr>
        <w:tabs>
          <w:tab w:val="left" w:pos="360"/>
        </w:tabs>
        <w:jc w:val="both"/>
        <w:rPr>
          <w:rFonts w:ascii="Century Gothic" w:hAnsi="Century Gothic"/>
          <w:b/>
          <w:sz w:val="22"/>
          <w:szCs w:val="22"/>
        </w:rPr>
      </w:pPr>
      <w:r w:rsidRPr="00137F40">
        <w:rPr>
          <w:rFonts w:ascii="Century Gothic" w:hAnsi="Century Gothic"/>
          <w:b/>
          <w:sz w:val="22"/>
          <w:szCs w:val="22"/>
        </w:rPr>
        <w:t>Alcance</w:t>
      </w:r>
    </w:p>
    <w:p w14:paraId="21704094" w14:textId="77777777" w:rsidR="001145FF" w:rsidRPr="00137F40" w:rsidRDefault="001145FF" w:rsidP="001145FF">
      <w:pPr>
        <w:pStyle w:val="Ttulo4"/>
        <w:jc w:val="both"/>
        <w:rPr>
          <w:rFonts w:cs="Times New Roman"/>
          <w:b w:val="0"/>
          <w:bCs w:val="0"/>
          <w:i/>
          <w:iCs/>
          <w:color w:val="auto"/>
          <w:sz w:val="22"/>
          <w:szCs w:val="22"/>
        </w:rPr>
      </w:pPr>
      <w:r w:rsidRPr="00137F40">
        <w:rPr>
          <w:rFonts w:cs="Times New Roman"/>
          <w:b w:val="0"/>
          <w:bCs w:val="0"/>
          <w:color w:val="auto"/>
          <w:sz w:val="22"/>
          <w:szCs w:val="22"/>
        </w:rPr>
        <w:t>La revisión comprende la revisión de Fondos Inmobiliarios de junio 2018 a noviembre 2020 y la comprobación del saldo contable de al cierre de octubre 2020.</w:t>
      </w:r>
      <w:r w:rsidRPr="00137F40">
        <w:rPr>
          <w:b w:val="0"/>
          <w:bCs w:val="0"/>
          <w:color w:val="auto"/>
        </w:rPr>
        <w:t xml:space="preserve"> </w:t>
      </w:r>
    </w:p>
    <w:p w14:paraId="6A6A2150" w14:textId="77777777" w:rsidR="001145FF" w:rsidRPr="00137F40" w:rsidRDefault="001145FF" w:rsidP="001145FF">
      <w:pPr>
        <w:rPr>
          <w:sz w:val="22"/>
          <w:szCs w:val="22"/>
        </w:rPr>
      </w:pPr>
    </w:p>
    <w:p w14:paraId="048CF912" w14:textId="77777777" w:rsidR="001145FF" w:rsidRPr="00137F40" w:rsidRDefault="001145FF" w:rsidP="001145FF">
      <w:pPr>
        <w:tabs>
          <w:tab w:val="left" w:pos="360"/>
        </w:tabs>
        <w:ind w:left="720"/>
        <w:jc w:val="both"/>
        <w:rPr>
          <w:rFonts w:ascii="Century Gothic" w:hAnsi="Century Gothic"/>
          <w:b/>
          <w:sz w:val="22"/>
          <w:szCs w:val="22"/>
        </w:rPr>
      </w:pPr>
    </w:p>
    <w:p w14:paraId="2F3BD672" w14:textId="77777777" w:rsidR="001145FF" w:rsidRPr="00137F40" w:rsidRDefault="001145FF" w:rsidP="001145FF">
      <w:pPr>
        <w:numPr>
          <w:ilvl w:val="0"/>
          <w:numId w:val="8"/>
        </w:numPr>
        <w:tabs>
          <w:tab w:val="left" w:pos="360"/>
        </w:tabs>
        <w:jc w:val="both"/>
        <w:rPr>
          <w:rFonts w:ascii="Century Gothic" w:hAnsi="Century Gothic"/>
          <w:b/>
          <w:sz w:val="22"/>
          <w:szCs w:val="22"/>
        </w:rPr>
      </w:pPr>
      <w:r w:rsidRPr="00137F40">
        <w:rPr>
          <w:rFonts w:ascii="Century Gothic" w:hAnsi="Century Gothic"/>
          <w:b/>
          <w:sz w:val="22"/>
          <w:szCs w:val="22"/>
        </w:rPr>
        <w:t>Objetivos</w:t>
      </w:r>
    </w:p>
    <w:p w14:paraId="259EA204" w14:textId="77777777" w:rsidR="001145FF" w:rsidRPr="00137F40" w:rsidRDefault="001145FF" w:rsidP="001145FF">
      <w:pPr>
        <w:jc w:val="both"/>
        <w:rPr>
          <w:rFonts w:ascii="Century Gothic" w:hAnsi="Century Gothic"/>
          <w:b/>
          <w:sz w:val="16"/>
          <w:szCs w:val="16"/>
        </w:rPr>
      </w:pPr>
    </w:p>
    <w:p w14:paraId="51BA3BAF" w14:textId="77777777" w:rsidR="001145FF" w:rsidRPr="00137F40" w:rsidRDefault="001145FF" w:rsidP="001145FF">
      <w:pPr>
        <w:pStyle w:val="Textoindependiente"/>
        <w:numPr>
          <w:ilvl w:val="0"/>
          <w:numId w:val="11"/>
        </w:numPr>
        <w:ind w:left="360"/>
        <w:rPr>
          <w:rFonts w:ascii="Century Gothic" w:hAnsi="Century Gothic"/>
          <w:color w:val="auto"/>
          <w:sz w:val="22"/>
          <w:szCs w:val="22"/>
        </w:rPr>
      </w:pPr>
      <w:r w:rsidRPr="00137F40">
        <w:rPr>
          <w:rFonts w:ascii="Century Gothic" w:hAnsi="Century Gothic"/>
          <w:color w:val="auto"/>
          <w:sz w:val="22"/>
          <w:szCs w:val="22"/>
        </w:rPr>
        <w:t>Revisión del comportamiento que han presentado los Fondos Inmobiliarios de junio 2018 a noviembre 2020.</w:t>
      </w:r>
    </w:p>
    <w:p w14:paraId="7090864F" w14:textId="77777777" w:rsidR="001145FF" w:rsidRPr="00137F40" w:rsidRDefault="001145FF" w:rsidP="001145FF">
      <w:pPr>
        <w:pStyle w:val="Textoindependiente"/>
        <w:ind w:left="360"/>
        <w:rPr>
          <w:rFonts w:ascii="Century Gothic" w:hAnsi="Century Gothic"/>
          <w:color w:val="auto"/>
          <w:sz w:val="22"/>
          <w:szCs w:val="22"/>
        </w:rPr>
      </w:pPr>
    </w:p>
    <w:p w14:paraId="737D6774" w14:textId="77777777" w:rsidR="001145FF" w:rsidRPr="00137F40" w:rsidRDefault="001145FF" w:rsidP="001145FF">
      <w:pPr>
        <w:pStyle w:val="Textoindependiente"/>
        <w:numPr>
          <w:ilvl w:val="0"/>
          <w:numId w:val="11"/>
        </w:numPr>
        <w:ind w:left="360"/>
        <w:rPr>
          <w:rFonts w:ascii="Century Gothic" w:hAnsi="Century Gothic"/>
          <w:color w:val="auto"/>
          <w:sz w:val="22"/>
          <w:szCs w:val="22"/>
        </w:rPr>
      </w:pPr>
      <w:r w:rsidRPr="00137F40">
        <w:rPr>
          <w:rFonts w:ascii="Century Gothic" w:hAnsi="Century Gothic"/>
          <w:color w:val="auto"/>
          <w:sz w:val="22"/>
          <w:szCs w:val="22"/>
        </w:rPr>
        <w:t>Revisar el cumplimiento de la normativa vigente, en los aspectos relacionados con el tema bajo estudio.</w:t>
      </w:r>
    </w:p>
    <w:p w14:paraId="2CF6B691" w14:textId="77777777" w:rsidR="001145FF" w:rsidRPr="00137F40" w:rsidRDefault="001145FF" w:rsidP="001145FF">
      <w:pPr>
        <w:ind w:left="426"/>
        <w:jc w:val="both"/>
        <w:rPr>
          <w:rFonts w:ascii="Century Gothic" w:hAnsi="Century Gothic"/>
          <w:b/>
          <w:sz w:val="22"/>
          <w:szCs w:val="22"/>
        </w:rPr>
      </w:pPr>
    </w:p>
    <w:p w14:paraId="0FC6A209" w14:textId="77777777" w:rsidR="001145FF" w:rsidRPr="00137F40" w:rsidRDefault="001145FF" w:rsidP="001145FF">
      <w:pPr>
        <w:ind w:left="426"/>
        <w:jc w:val="both"/>
        <w:rPr>
          <w:rFonts w:ascii="Century Gothic" w:hAnsi="Century Gothic"/>
          <w:b/>
          <w:sz w:val="22"/>
          <w:szCs w:val="22"/>
        </w:rPr>
      </w:pPr>
    </w:p>
    <w:p w14:paraId="7DEA2689" w14:textId="77777777" w:rsidR="001145FF" w:rsidRPr="00137F40" w:rsidRDefault="001145FF" w:rsidP="001145FF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Century Gothic" w:hAnsi="Century Gothic"/>
          <w:b/>
          <w:sz w:val="22"/>
          <w:szCs w:val="22"/>
        </w:rPr>
      </w:pPr>
      <w:r w:rsidRPr="00137F40">
        <w:rPr>
          <w:rFonts w:ascii="Century Gothic" w:hAnsi="Century Gothic"/>
          <w:b/>
          <w:sz w:val="22"/>
          <w:szCs w:val="22"/>
        </w:rPr>
        <w:t>Resultados obtenidos</w:t>
      </w:r>
    </w:p>
    <w:p w14:paraId="1AD551A1" w14:textId="77777777" w:rsidR="001145FF" w:rsidRPr="00137F40" w:rsidRDefault="001145FF" w:rsidP="001145FF">
      <w:pPr>
        <w:pStyle w:val="Textoindependiente"/>
        <w:ind w:right="49"/>
        <w:rPr>
          <w:rFonts w:ascii="Century Gothic" w:hAnsi="Century Gothic" w:cs="Times New Roman"/>
          <w:color w:val="auto"/>
          <w:sz w:val="22"/>
          <w:szCs w:val="22"/>
        </w:rPr>
      </w:pPr>
      <w:r w:rsidRPr="00137F40">
        <w:rPr>
          <w:rFonts w:ascii="Century Gothic" w:hAnsi="Century Gothic" w:cs="Times New Roman"/>
          <w:color w:val="auto"/>
          <w:sz w:val="22"/>
          <w:szCs w:val="22"/>
        </w:rPr>
        <w:t xml:space="preserve">De conformidad con el objetivo propuesto para esta revisión: </w:t>
      </w:r>
    </w:p>
    <w:p w14:paraId="04A94AB5" w14:textId="77777777" w:rsidR="001145FF" w:rsidRPr="00137F40" w:rsidRDefault="001145FF" w:rsidP="001145FF">
      <w:pPr>
        <w:pStyle w:val="Textoindependiente"/>
        <w:ind w:right="49"/>
        <w:rPr>
          <w:rFonts w:ascii="Century Gothic" w:hAnsi="Century Gothic" w:cs="Times New Roman"/>
          <w:color w:val="auto"/>
          <w:sz w:val="22"/>
          <w:szCs w:val="22"/>
        </w:rPr>
      </w:pPr>
    </w:p>
    <w:p w14:paraId="6DA3C496" w14:textId="77777777" w:rsidR="001145FF" w:rsidRPr="00137F40" w:rsidRDefault="001145FF" w:rsidP="001145FF">
      <w:pPr>
        <w:pStyle w:val="Textoindependiente"/>
        <w:numPr>
          <w:ilvl w:val="0"/>
          <w:numId w:val="13"/>
        </w:numPr>
        <w:ind w:left="567" w:right="49" w:hanging="425"/>
        <w:rPr>
          <w:rFonts w:ascii="Century Gothic" w:hAnsi="Century Gothic" w:cs="Times New Roman"/>
          <w:color w:val="auto"/>
          <w:sz w:val="22"/>
          <w:szCs w:val="22"/>
        </w:rPr>
      </w:pPr>
      <w:r w:rsidRPr="00137F40">
        <w:rPr>
          <w:rFonts w:ascii="Century Gothic" w:hAnsi="Century Gothic"/>
          <w:color w:val="auto"/>
          <w:sz w:val="22"/>
          <w:szCs w:val="22"/>
        </w:rPr>
        <w:t xml:space="preserve">Al comparar el ‘Costo de Adquisición’ y ‘Valor de Mercado’ de los Fondos Inmobiliarios en colones al cierre de setiembre 2020, se observa que la variación ha sido positiva para los 3 instrumentos existentes en la cartera. </w:t>
      </w:r>
    </w:p>
    <w:p w14:paraId="3EB9AF98" w14:textId="77777777" w:rsidR="001145FF" w:rsidRPr="00137F40" w:rsidRDefault="001145FF" w:rsidP="001145FF">
      <w:pPr>
        <w:pStyle w:val="Textoindependiente"/>
        <w:ind w:left="567" w:right="49"/>
        <w:rPr>
          <w:rFonts w:ascii="Century Gothic" w:hAnsi="Century Gothic"/>
          <w:color w:val="auto"/>
          <w:sz w:val="22"/>
          <w:szCs w:val="22"/>
        </w:rPr>
      </w:pPr>
    </w:p>
    <w:p w14:paraId="749232DB" w14:textId="77777777" w:rsidR="001145FF" w:rsidRPr="00137F40" w:rsidRDefault="001145FF" w:rsidP="001145FF">
      <w:pPr>
        <w:pStyle w:val="Textoindependiente"/>
        <w:ind w:left="567" w:right="49"/>
        <w:rPr>
          <w:rFonts w:ascii="Century Gothic" w:hAnsi="Century Gothic" w:cs="Times New Roman"/>
          <w:color w:val="auto"/>
          <w:sz w:val="22"/>
          <w:szCs w:val="22"/>
        </w:rPr>
      </w:pPr>
      <w:r w:rsidRPr="00137F40">
        <w:rPr>
          <w:rFonts w:ascii="Century Gothic" w:hAnsi="Century Gothic"/>
          <w:color w:val="auto"/>
          <w:sz w:val="22"/>
          <w:szCs w:val="22"/>
        </w:rPr>
        <w:t>Sin embargo, en los Fondos Inmobiliarios en dólares, la variación a esa misma fecha, en casi todos los instrumentos ha sido negativa, es decir, existe pérdida de valor de mercado en comparación al costo de las inversiones. La cual responde principalmente a la afectación provocada por la pandemia del COVID-19.</w:t>
      </w:r>
    </w:p>
    <w:p w14:paraId="27B5F731" w14:textId="77777777" w:rsidR="001145FF" w:rsidRPr="00137F40" w:rsidRDefault="001145FF" w:rsidP="001145FF">
      <w:pPr>
        <w:pStyle w:val="Textoindependiente"/>
        <w:ind w:left="567" w:right="49" w:hanging="425"/>
        <w:rPr>
          <w:rFonts w:ascii="Century Gothic" w:hAnsi="Century Gothic" w:cs="Times New Roman"/>
          <w:color w:val="auto"/>
          <w:sz w:val="16"/>
          <w:szCs w:val="16"/>
          <w:highlight w:val="green"/>
        </w:rPr>
      </w:pPr>
    </w:p>
    <w:p w14:paraId="0AD8E18E" w14:textId="77777777" w:rsidR="001145FF" w:rsidRPr="00137F40" w:rsidRDefault="001145FF" w:rsidP="001145FF">
      <w:pPr>
        <w:pStyle w:val="Textoindependiente"/>
        <w:ind w:left="567" w:right="49"/>
        <w:rPr>
          <w:rFonts w:ascii="Century Gothic" w:hAnsi="Century Gothic"/>
          <w:color w:val="auto"/>
          <w:sz w:val="22"/>
          <w:szCs w:val="22"/>
        </w:rPr>
      </w:pPr>
      <w:r w:rsidRPr="00137F40">
        <w:rPr>
          <w:rFonts w:ascii="Century Gothic" w:hAnsi="Century Gothic"/>
          <w:color w:val="auto"/>
          <w:sz w:val="22"/>
          <w:szCs w:val="22"/>
        </w:rPr>
        <w:t>Es necesario destacar que, por la naturaleza de estos fondos, la expectativa de recuperación se va a extender en el tiempo, debido a la lenta recuperación de la economía, una vez superada la pandemia ocasionada por el SARS-COV-2, de ahí que la medida implementada por la Administración es mantener las inversiones en los fondos inmobiliarios y no incrementarla.</w:t>
      </w:r>
    </w:p>
    <w:p w14:paraId="3D51B464" w14:textId="77777777" w:rsidR="001145FF" w:rsidRPr="00137F40" w:rsidRDefault="001145FF" w:rsidP="001145FF">
      <w:pPr>
        <w:pStyle w:val="Textoindependiente"/>
        <w:ind w:left="567" w:right="49" w:hanging="425"/>
        <w:rPr>
          <w:rFonts w:ascii="Century Gothic" w:hAnsi="Century Gothic"/>
          <w:color w:val="auto"/>
          <w:sz w:val="22"/>
          <w:szCs w:val="22"/>
          <w:highlight w:val="green"/>
        </w:rPr>
      </w:pPr>
    </w:p>
    <w:p w14:paraId="028235D3" w14:textId="77777777" w:rsidR="001145FF" w:rsidRPr="00137F40" w:rsidRDefault="001145FF" w:rsidP="001145FF">
      <w:pPr>
        <w:pStyle w:val="Textoindependiente"/>
        <w:numPr>
          <w:ilvl w:val="0"/>
          <w:numId w:val="13"/>
        </w:numPr>
        <w:ind w:left="567" w:right="49" w:hanging="567"/>
        <w:rPr>
          <w:rFonts w:ascii="Century Gothic" w:hAnsi="Century Gothic"/>
          <w:color w:val="auto"/>
          <w:sz w:val="22"/>
          <w:szCs w:val="22"/>
        </w:rPr>
      </w:pPr>
      <w:r w:rsidRPr="00137F40">
        <w:rPr>
          <w:rFonts w:ascii="Century Gothic" w:hAnsi="Century Gothic"/>
          <w:color w:val="auto"/>
          <w:sz w:val="22"/>
          <w:szCs w:val="22"/>
        </w:rPr>
        <w:t xml:space="preserve">Al verificar los rendimientos percibidos de enero a noviembre del año 2020 de los fondos inmobiliarios en dólares, se identificó que todos aquellos que poseen una frecuencia de pago mensual recibieron dividendos cada mes, a excepción del Fondo de Inversión Inmobiliario de Renta y Plusvalía (ALDESA) y el Fondo Inmobiliario Popular SAFI (FINPO). </w:t>
      </w:r>
    </w:p>
    <w:p w14:paraId="58579CCB" w14:textId="77777777" w:rsidR="001145FF" w:rsidRPr="00137F40" w:rsidRDefault="001145FF" w:rsidP="001145FF">
      <w:pPr>
        <w:pStyle w:val="Textoindependiente"/>
        <w:ind w:left="567" w:right="49"/>
        <w:rPr>
          <w:rFonts w:ascii="Century Gothic" w:hAnsi="Century Gothic"/>
          <w:color w:val="auto"/>
          <w:sz w:val="22"/>
          <w:szCs w:val="22"/>
        </w:rPr>
      </w:pPr>
    </w:p>
    <w:p w14:paraId="3426F9FB" w14:textId="77777777" w:rsidR="001145FF" w:rsidRPr="00137F40" w:rsidRDefault="001145FF" w:rsidP="001145FF">
      <w:pPr>
        <w:pStyle w:val="Textoindependiente"/>
        <w:ind w:left="567" w:right="49"/>
        <w:rPr>
          <w:rFonts w:ascii="Century Gothic" w:hAnsi="Century Gothic"/>
          <w:color w:val="auto"/>
          <w:sz w:val="22"/>
          <w:szCs w:val="22"/>
        </w:rPr>
      </w:pPr>
      <w:r w:rsidRPr="00137F40">
        <w:rPr>
          <w:rFonts w:ascii="Century Gothic" w:hAnsi="Century Gothic"/>
          <w:color w:val="auto"/>
          <w:sz w:val="22"/>
          <w:szCs w:val="22"/>
        </w:rPr>
        <w:t>Asimismo, los de pago trimestral han generado el pago de dividendos sin falta; sin embargo, la mayoría se vieron afectados hacia la baja por efectos de la pandemia.</w:t>
      </w:r>
    </w:p>
    <w:p w14:paraId="5650E1AE" w14:textId="77777777" w:rsidR="001145FF" w:rsidRPr="00137F40" w:rsidRDefault="001145FF" w:rsidP="001145FF">
      <w:pPr>
        <w:pStyle w:val="Textoindependiente"/>
        <w:ind w:left="567" w:right="49" w:hanging="425"/>
        <w:rPr>
          <w:rFonts w:ascii="Century Gothic" w:hAnsi="Century Gothic"/>
          <w:color w:val="auto"/>
          <w:sz w:val="22"/>
          <w:szCs w:val="22"/>
        </w:rPr>
      </w:pPr>
    </w:p>
    <w:p w14:paraId="77EEC5B2" w14:textId="77777777" w:rsidR="001145FF" w:rsidRPr="00137F40" w:rsidRDefault="001145FF" w:rsidP="001145FF">
      <w:pPr>
        <w:pStyle w:val="Textoindependiente"/>
        <w:numPr>
          <w:ilvl w:val="0"/>
          <w:numId w:val="13"/>
        </w:numPr>
        <w:ind w:left="567" w:right="49" w:hanging="425"/>
        <w:rPr>
          <w:rFonts w:ascii="Century Gothic" w:hAnsi="Century Gothic"/>
          <w:color w:val="auto"/>
          <w:sz w:val="22"/>
          <w:szCs w:val="22"/>
        </w:rPr>
      </w:pPr>
      <w:r w:rsidRPr="00137F40">
        <w:rPr>
          <w:rFonts w:ascii="Century Gothic" w:hAnsi="Century Gothic"/>
          <w:color w:val="auto"/>
          <w:sz w:val="22"/>
          <w:szCs w:val="22"/>
        </w:rPr>
        <w:lastRenderedPageBreak/>
        <w:t xml:space="preserve">La Unidad Integral de Riesgos en conjunto con el Órgano de Dirección ha realizado el seguimiento de estas inversiones, mediante informes mensuales y estudios de factores fundamentales, que son analizados en los comités de Riesgos y de Inversiones, así como a la Junta Directiva. </w:t>
      </w:r>
    </w:p>
    <w:p w14:paraId="1E2336AD" w14:textId="77777777" w:rsidR="001145FF" w:rsidRPr="00137F40" w:rsidRDefault="001145FF" w:rsidP="001145FF">
      <w:pPr>
        <w:pStyle w:val="Textoindependiente"/>
        <w:ind w:left="567" w:right="49" w:hanging="425"/>
        <w:rPr>
          <w:rFonts w:ascii="Century Gothic" w:hAnsi="Century Gothic" w:cs="Times New Roman"/>
          <w:color w:val="auto"/>
          <w:sz w:val="22"/>
          <w:szCs w:val="22"/>
        </w:rPr>
      </w:pPr>
    </w:p>
    <w:p w14:paraId="47F54BCF" w14:textId="77777777" w:rsidR="001145FF" w:rsidRPr="00137F40" w:rsidRDefault="001145FF" w:rsidP="001145FF">
      <w:pPr>
        <w:pStyle w:val="Textoindependiente"/>
        <w:numPr>
          <w:ilvl w:val="0"/>
          <w:numId w:val="12"/>
        </w:numPr>
        <w:ind w:left="567" w:right="49" w:hanging="425"/>
        <w:rPr>
          <w:rFonts w:ascii="Century Gothic" w:hAnsi="Century Gothic" w:cs="Times New Roman"/>
          <w:color w:val="auto"/>
          <w:sz w:val="22"/>
          <w:szCs w:val="22"/>
        </w:rPr>
      </w:pPr>
      <w:r w:rsidRPr="00137F40">
        <w:rPr>
          <w:rFonts w:ascii="Century Gothic" w:hAnsi="Century Gothic" w:cs="Times New Roman"/>
          <w:color w:val="auto"/>
          <w:sz w:val="22"/>
          <w:szCs w:val="22"/>
        </w:rPr>
        <w:t>Se revisó el cumplimiento de la normativa interna, sin determinarse situaciones que informar al respecto.</w:t>
      </w:r>
    </w:p>
    <w:p w14:paraId="6B1C0788" w14:textId="77777777" w:rsidR="009C6626" w:rsidRPr="00137F40" w:rsidRDefault="009C6626" w:rsidP="009C6626">
      <w:pPr>
        <w:jc w:val="both"/>
        <w:rPr>
          <w:rFonts w:asciiTheme="majorHAnsi" w:hAnsiTheme="majorHAnsi"/>
          <w:sz w:val="22"/>
        </w:rPr>
      </w:pPr>
    </w:p>
    <w:p w14:paraId="2D59EEA2" w14:textId="77777777" w:rsidR="009C6626" w:rsidRPr="00137F40" w:rsidRDefault="009C6626" w:rsidP="009C6626">
      <w:pPr>
        <w:jc w:val="both"/>
      </w:pPr>
    </w:p>
    <w:p w14:paraId="6E248B00" w14:textId="435A7BCD" w:rsidR="009C6626" w:rsidRPr="00137F40" w:rsidRDefault="009C6626" w:rsidP="009C6626">
      <w:pPr>
        <w:jc w:val="both"/>
        <w:rPr>
          <w:rFonts w:ascii="Century Gothic" w:hAnsi="Century Gothic"/>
          <w:sz w:val="22"/>
          <w:szCs w:val="22"/>
        </w:rPr>
      </w:pPr>
      <w:r w:rsidRPr="00137F40">
        <w:rPr>
          <w:rFonts w:ascii="Century Gothic" w:hAnsi="Century Gothic"/>
          <w:sz w:val="22"/>
          <w:szCs w:val="22"/>
        </w:rPr>
        <w:t xml:space="preserve">Esta revisión fue aprobada en la Sesión Ordinaria No. </w:t>
      </w:r>
      <w:r w:rsidR="00137F40">
        <w:rPr>
          <w:rFonts w:ascii="Century Gothic" w:hAnsi="Century Gothic"/>
          <w:sz w:val="22"/>
          <w:szCs w:val="22"/>
        </w:rPr>
        <w:t>043</w:t>
      </w:r>
      <w:r w:rsidRPr="00137F40">
        <w:rPr>
          <w:rFonts w:ascii="Century Gothic" w:hAnsi="Century Gothic"/>
          <w:sz w:val="22"/>
          <w:szCs w:val="22"/>
        </w:rPr>
        <w:t xml:space="preserve">-2021 del </w:t>
      </w:r>
      <w:r w:rsidR="00137F40">
        <w:rPr>
          <w:rFonts w:ascii="Century Gothic" w:hAnsi="Century Gothic"/>
          <w:sz w:val="22"/>
          <w:szCs w:val="22"/>
        </w:rPr>
        <w:t>22 de abril</w:t>
      </w:r>
      <w:r w:rsidRPr="00137F40">
        <w:rPr>
          <w:rFonts w:ascii="Century Gothic" w:hAnsi="Century Gothic"/>
          <w:sz w:val="22"/>
          <w:szCs w:val="22"/>
        </w:rPr>
        <w:t xml:space="preserve"> de 2021.</w:t>
      </w:r>
    </w:p>
    <w:p w14:paraId="0AF56A27" w14:textId="77777777" w:rsidR="009C6626" w:rsidRPr="00137F40" w:rsidRDefault="009C6626" w:rsidP="009C6626">
      <w:pPr>
        <w:jc w:val="both"/>
        <w:rPr>
          <w:rFonts w:ascii="Century Gothic" w:hAnsi="Century Gothic"/>
          <w:sz w:val="22"/>
          <w:szCs w:val="22"/>
        </w:rPr>
      </w:pPr>
    </w:p>
    <w:p w14:paraId="03F6040F" w14:textId="7A6E6909" w:rsidR="009C6626" w:rsidRPr="00137F40" w:rsidRDefault="009C6626" w:rsidP="009C6626">
      <w:pPr>
        <w:spacing w:after="160" w:line="259" w:lineRule="auto"/>
        <w:rPr>
          <w:rFonts w:ascii="Century Gothic" w:hAnsi="Century Gothic"/>
          <w:b/>
          <w:bCs/>
          <w:sz w:val="22"/>
          <w:szCs w:val="22"/>
        </w:rPr>
      </w:pPr>
    </w:p>
    <w:sectPr w:rsidR="009C6626" w:rsidRPr="00137F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D3909"/>
    <w:multiLevelType w:val="hybridMultilevel"/>
    <w:tmpl w:val="8530FF36"/>
    <w:lvl w:ilvl="0" w:tplc="1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FD3178"/>
    <w:multiLevelType w:val="hybridMultilevel"/>
    <w:tmpl w:val="EE26CA3E"/>
    <w:lvl w:ilvl="0" w:tplc="2F9AB5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8AF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74C60"/>
    <w:multiLevelType w:val="hybridMultilevel"/>
    <w:tmpl w:val="63A6749A"/>
    <w:lvl w:ilvl="0" w:tplc="02B081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7049C"/>
    <w:multiLevelType w:val="multilevel"/>
    <w:tmpl w:val="D3FE70A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8538A9"/>
    <w:multiLevelType w:val="hybridMultilevel"/>
    <w:tmpl w:val="31BEB9AA"/>
    <w:lvl w:ilvl="0" w:tplc="210E5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62BC6"/>
    <w:multiLevelType w:val="multilevel"/>
    <w:tmpl w:val="2F32EBFE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6" w15:restartNumberingAfterBreak="0">
    <w:nsid w:val="31651CFA"/>
    <w:multiLevelType w:val="multilevel"/>
    <w:tmpl w:val="F91A13A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78B060B"/>
    <w:multiLevelType w:val="hybridMultilevel"/>
    <w:tmpl w:val="1D489F2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C601F"/>
    <w:multiLevelType w:val="hybridMultilevel"/>
    <w:tmpl w:val="AEE05DF6"/>
    <w:lvl w:ilvl="0" w:tplc="1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E1F2FCD"/>
    <w:multiLevelType w:val="hybridMultilevel"/>
    <w:tmpl w:val="FDA427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B7B07"/>
    <w:multiLevelType w:val="hybridMultilevel"/>
    <w:tmpl w:val="5406D73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31E1A"/>
    <w:multiLevelType w:val="hybridMultilevel"/>
    <w:tmpl w:val="BDACF98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718C6"/>
    <w:multiLevelType w:val="hybridMultilevel"/>
    <w:tmpl w:val="43FA382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34"/>
    <w:rsid w:val="001145FF"/>
    <w:rsid w:val="00137F40"/>
    <w:rsid w:val="002D7314"/>
    <w:rsid w:val="006422D9"/>
    <w:rsid w:val="0089209E"/>
    <w:rsid w:val="009C6626"/>
    <w:rsid w:val="00BA072F"/>
    <w:rsid w:val="00BD777B"/>
    <w:rsid w:val="00C86634"/>
    <w:rsid w:val="00D825A1"/>
    <w:rsid w:val="00DA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0A0E70"/>
  <w15:chartTrackingRefBased/>
  <w15:docId w15:val="{64B603DB-1C63-45D8-A314-DD489181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C86634"/>
    <w:pPr>
      <w:keepNext/>
      <w:jc w:val="center"/>
      <w:outlineLvl w:val="3"/>
    </w:pPr>
    <w:rPr>
      <w:rFonts w:ascii="Century Gothic" w:hAnsi="Century Gothic" w:cs="Courier New"/>
      <w:b/>
      <w:bCs/>
      <w:color w:val="FF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Informe"/>
    <w:basedOn w:val="Normal"/>
    <w:link w:val="PrrafodelistaCar"/>
    <w:uiPriority w:val="34"/>
    <w:qFormat/>
    <w:rsid w:val="00C86634"/>
    <w:pPr>
      <w:ind w:left="708"/>
    </w:pPr>
  </w:style>
  <w:style w:type="character" w:customStyle="1" w:styleId="PrrafodelistaCar">
    <w:name w:val="Párrafo de lista Car"/>
    <w:aliases w:val="Informe Car"/>
    <w:link w:val="Prrafodelista"/>
    <w:uiPriority w:val="34"/>
    <w:locked/>
    <w:rsid w:val="00C866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6634"/>
    <w:pPr>
      <w:jc w:val="both"/>
    </w:pPr>
    <w:rPr>
      <w:rFonts w:ascii="Arial" w:hAnsi="Arial" w:cs="Arial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C86634"/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86634"/>
    <w:rPr>
      <w:rFonts w:ascii="Century Gothic" w:eastAsia="Times New Roman" w:hAnsi="Century Gothic" w:cs="Courier New"/>
      <w:b/>
      <w:bCs/>
      <w:color w:val="FF0000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866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66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1145FF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/>
</file>