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F673" w14:textId="77777777" w:rsidR="003D5CC5" w:rsidRPr="00DA6965" w:rsidRDefault="003D5CC5" w:rsidP="003D5CC5">
      <w:pPr>
        <w:jc w:val="center"/>
        <w:rPr>
          <w:rFonts w:ascii="Century Gothic" w:hAnsi="Century Gothic"/>
          <w:b/>
          <w:bCs/>
          <w:sz w:val="22"/>
          <w:szCs w:val="20"/>
        </w:rPr>
      </w:pPr>
      <w:r w:rsidRPr="00DA6965">
        <w:rPr>
          <w:rFonts w:ascii="Century Gothic" w:hAnsi="Century Gothic"/>
          <w:b/>
          <w:bCs/>
          <w:sz w:val="22"/>
          <w:szCs w:val="20"/>
        </w:rPr>
        <w:t xml:space="preserve">Estudio No. 04-2021 </w:t>
      </w:r>
    </w:p>
    <w:p w14:paraId="201E64A2" w14:textId="77777777" w:rsidR="003D5CC5" w:rsidRPr="00DA6965" w:rsidRDefault="003D5CC5" w:rsidP="003D5CC5">
      <w:pPr>
        <w:jc w:val="center"/>
        <w:rPr>
          <w:rFonts w:ascii="Century Gothic" w:hAnsi="Century Gothic"/>
          <w:b/>
          <w:bCs/>
          <w:sz w:val="22"/>
          <w:szCs w:val="20"/>
        </w:rPr>
      </w:pPr>
      <w:r w:rsidRPr="00DA6965">
        <w:rPr>
          <w:rFonts w:ascii="Century Gothic" w:hAnsi="Century Gothic"/>
          <w:b/>
          <w:bCs/>
          <w:sz w:val="22"/>
          <w:szCs w:val="20"/>
        </w:rPr>
        <w:t>Seguridad Institucional</w:t>
      </w:r>
    </w:p>
    <w:p w14:paraId="49075FEF" w14:textId="77777777" w:rsidR="003D5CC5" w:rsidRPr="00DA6965" w:rsidRDefault="003D5CC5" w:rsidP="003D5CC5">
      <w:pPr>
        <w:jc w:val="center"/>
        <w:rPr>
          <w:rFonts w:ascii="Century Gothic" w:hAnsi="Century Gothic"/>
          <w:b/>
          <w:bCs/>
          <w:sz w:val="22"/>
          <w:szCs w:val="20"/>
        </w:rPr>
      </w:pPr>
    </w:p>
    <w:p w14:paraId="3AF83FCC" w14:textId="77777777" w:rsidR="003D5CC5" w:rsidRPr="00DA6965" w:rsidRDefault="003D5CC5" w:rsidP="003D5CC5">
      <w:pPr>
        <w:numPr>
          <w:ilvl w:val="0"/>
          <w:numId w:val="8"/>
        </w:numPr>
        <w:tabs>
          <w:tab w:val="left" w:pos="360"/>
        </w:tabs>
        <w:spacing w:after="60"/>
        <w:jc w:val="both"/>
        <w:rPr>
          <w:rFonts w:ascii="Century Gothic" w:hAnsi="Century Gothic"/>
          <w:b/>
          <w:bCs/>
          <w:sz w:val="22"/>
          <w:szCs w:val="20"/>
        </w:rPr>
      </w:pPr>
      <w:r w:rsidRPr="00DA6965">
        <w:rPr>
          <w:rFonts w:ascii="Century Gothic" w:hAnsi="Century Gothic"/>
          <w:b/>
          <w:sz w:val="22"/>
          <w:szCs w:val="22"/>
        </w:rPr>
        <w:t>Alcance</w:t>
      </w:r>
      <w:r w:rsidRPr="00DA6965">
        <w:rPr>
          <w:rFonts w:ascii="Century Gothic" w:hAnsi="Century Gothic"/>
          <w:b/>
          <w:bCs/>
          <w:sz w:val="22"/>
          <w:szCs w:val="20"/>
        </w:rPr>
        <w:t>.</w:t>
      </w:r>
    </w:p>
    <w:p w14:paraId="60B44522" w14:textId="77777777" w:rsidR="003D5CC5" w:rsidRPr="00DA6965" w:rsidRDefault="003D5CC5" w:rsidP="003D5CC5">
      <w:pPr>
        <w:jc w:val="both"/>
        <w:rPr>
          <w:rFonts w:ascii="Century Gothic" w:hAnsi="Century Gothic"/>
          <w:sz w:val="22"/>
          <w:szCs w:val="22"/>
        </w:rPr>
      </w:pPr>
      <w:r w:rsidRPr="00DA6965">
        <w:rPr>
          <w:rFonts w:ascii="Century Gothic" w:hAnsi="Century Gothic" w:cs="Century Gothic"/>
          <w:sz w:val="22"/>
          <w:szCs w:val="22"/>
          <w:lang w:val="es-MX"/>
        </w:rPr>
        <w:t xml:space="preserve">El presente estudio tenía como propósito verificar aspectos relativos a la capacitación ofrecida a los Oficiales de Seguridad y al uso del armamento institucional, del </w:t>
      </w:r>
      <w:r w:rsidRPr="00DA6965">
        <w:rPr>
          <w:rFonts w:ascii="Century Gothic" w:hAnsi="Century Gothic"/>
          <w:iCs/>
          <w:sz w:val="22"/>
          <w:szCs w:val="22"/>
        </w:rPr>
        <w:t>1° de enero de 2019 al 30 de noviembre de 2020</w:t>
      </w:r>
      <w:r w:rsidRPr="00DA6965">
        <w:rPr>
          <w:rFonts w:ascii="Century Gothic" w:hAnsi="Century Gothic" w:cs="Century Gothic"/>
          <w:sz w:val="22"/>
          <w:szCs w:val="22"/>
          <w:lang w:val="es-MX"/>
        </w:rPr>
        <w:t>.</w:t>
      </w:r>
    </w:p>
    <w:p w14:paraId="7ECD02E3" w14:textId="77777777" w:rsidR="003D5CC5" w:rsidRPr="00DA6965" w:rsidRDefault="003D5CC5" w:rsidP="003D5CC5">
      <w:pPr>
        <w:jc w:val="both"/>
        <w:rPr>
          <w:rFonts w:ascii="Century Gothic" w:hAnsi="Century Gothic"/>
          <w:sz w:val="22"/>
          <w:szCs w:val="22"/>
        </w:rPr>
      </w:pPr>
    </w:p>
    <w:p w14:paraId="19F4C0FE" w14:textId="77777777" w:rsidR="003D5CC5" w:rsidRPr="00DA6965" w:rsidRDefault="003D5CC5" w:rsidP="003D5CC5">
      <w:pPr>
        <w:jc w:val="both"/>
        <w:rPr>
          <w:rFonts w:ascii="Century Gothic" w:hAnsi="Century Gothic"/>
          <w:sz w:val="22"/>
          <w:szCs w:val="22"/>
        </w:rPr>
      </w:pPr>
    </w:p>
    <w:p w14:paraId="5D9C93EF" w14:textId="77777777" w:rsidR="003D5CC5" w:rsidRPr="00DA6965" w:rsidRDefault="003D5CC5" w:rsidP="003D5CC5">
      <w:pPr>
        <w:numPr>
          <w:ilvl w:val="0"/>
          <w:numId w:val="8"/>
        </w:numPr>
        <w:tabs>
          <w:tab w:val="left" w:pos="360"/>
        </w:tabs>
        <w:spacing w:after="60"/>
        <w:jc w:val="both"/>
        <w:rPr>
          <w:rFonts w:ascii="Century Gothic" w:hAnsi="Century Gothic"/>
          <w:b/>
          <w:sz w:val="22"/>
          <w:szCs w:val="22"/>
        </w:rPr>
      </w:pPr>
      <w:r w:rsidRPr="00DA6965">
        <w:rPr>
          <w:rFonts w:ascii="Century Gothic" w:hAnsi="Century Gothic"/>
          <w:b/>
          <w:sz w:val="22"/>
          <w:szCs w:val="22"/>
        </w:rPr>
        <w:t>Objetivos.</w:t>
      </w:r>
    </w:p>
    <w:p w14:paraId="5AE4127C" w14:textId="77777777" w:rsidR="003D5CC5" w:rsidRPr="00DA6965" w:rsidRDefault="003D5CC5" w:rsidP="003D5CC5">
      <w:pPr>
        <w:pStyle w:val="Prrafodelista"/>
        <w:numPr>
          <w:ilvl w:val="0"/>
          <w:numId w:val="9"/>
        </w:numPr>
        <w:ind w:left="284" w:hanging="284"/>
        <w:contextualSpacing/>
        <w:jc w:val="both"/>
        <w:rPr>
          <w:rFonts w:ascii="Century Gothic" w:hAnsi="Century Gothic"/>
          <w:sz w:val="22"/>
        </w:rPr>
      </w:pPr>
      <w:bookmarkStart w:id="0" w:name="_Hlk47010344"/>
      <w:r w:rsidRPr="00DA6965">
        <w:rPr>
          <w:rFonts w:ascii="Century Gothic" w:hAnsi="Century Gothic"/>
          <w:sz w:val="22"/>
        </w:rPr>
        <w:t>Verificar el adecuado cumplimiento de la legislación vigente para el manejo del armamento y municiones propiedad de JUPEMA.</w:t>
      </w:r>
      <w:bookmarkEnd w:id="0"/>
    </w:p>
    <w:p w14:paraId="7AA61701" w14:textId="77777777" w:rsidR="003D5CC5" w:rsidRPr="00DA6965" w:rsidRDefault="003D5CC5" w:rsidP="003D5CC5">
      <w:pPr>
        <w:ind w:left="284" w:hanging="284"/>
        <w:jc w:val="both"/>
        <w:rPr>
          <w:rFonts w:ascii="Century Gothic" w:hAnsi="Century Gothic"/>
          <w:sz w:val="22"/>
        </w:rPr>
      </w:pPr>
    </w:p>
    <w:p w14:paraId="50CD7A26" w14:textId="77777777" w:rsidR="003D5CC5" w:rsidRPr="00DA6965" w:rsidRDefault="003D5CC5" w:rsidP="003D5CC5">
      <w:pPr>
        <w:pStyle w:val="Prrafodelista"/>
        <w:numPr>
          <w:ilvl w:val="0"/>
          <w:numId w:val="9"/>
        </w:numPr>
        <w:ind w:left="284" w:hanging="284"/>
        <w:contextualSpacing/>
        <w:jc w:val="both"/>
        <w:rPr>
          <w:rFonts w:ascii="Century Gothic" w:eastAsia="Arial Unicode MS" w:hAnsi="Century Gothic" w:cs="Arial Unicode MS"/>
          <w:sz w:val="22"/>
          <w:szCs w:val="22"/>
        </w:rPr>
      </w:pPr>
      <w:bookmarkStart w:id="1" w:name="_Hlk47010326"/>
      <w:r w:rsidRPr="00DA6965">
        <w:rPr>
          <w:rFonts w:ascii="Century Gothic" w:eastAsia="Arial Unicode MS" w:hAnsi="Century Gothic" w:cs="Arial Unicode MS"/>
          <w:sz w:val="22"/>
          <w:szCs w:val="22"/>
        </w:rPr>
        <w:t>Verificar las afectaciones presupuestarias de las partidas relativas a la</w:t>
      </w:r>
      <w:r w:rsidRPr="00DA6965">
        <w:rPr>
          <w:rFonts w:ascii="Century Gothic" w:hAnsi="Century Gothic"/>
          <w:sz w:val="22"/>
        </w:rPr>
        <w:t xml:space="preserve"> seguridad institucional</w:t>
      </w:r>
      <w:r w:rsidRPr="00DA6965">
        <w:rPr>
          <w:rFonts w:ascii="Century Gothic" w:eastAsia="Arial Unicode MS" w:hAnsi="Century Gothic" w:cs="Arial Unicode MS"/>
          <w:sz w:val="22"/>
          <w:szCs w:val="22"/>
        </w:rPr>
        <w:t>.</w:t>
      </w:r>
      <w:bookmarkEnd w:id="1"/>
    </w:p>
    <w:p w14:paraId="75D3D626" w14:textId="77777777" w:rsidR="003D5CC5" w:rsidRPr="00DA6965" w:rsidRDefault="003D5CC5" w:rsidP="003D5CC5">
      <w:pPr>
        <w:spacing w:line="259" w:lineRule="auto"/>
        <w:rPr>
          <w:rFonts w:ascii="Century Gothic" w:hAnsi="Century Gothic"/>
          <w:b/>
          <w:sz w:val="22"/>
          <w:szCs w:val="22"/>
        </w:rPr>
      </w:pPr>
    </w:p>
    <w:p w14:paraId="5ACB618B" w14:textId="77777777" w:rsidR="003D5CC5" w:rsidRPr="00DA6965" w:rsidRDefault="003D5CC5" w:rsidP="003D5CC5">
      <w:pPr>
        <w:spacing w:line="259" w:lineRule="auto"/>
        <w:rPr>
          <w:rFonts w:ascii="Century Gothic" w:hAnsi="Century Gothic"/>
          <w:b/>
          <w:sz w:val="22"/>
          <w:szCs w:val="22"/>
        </w:rPr>
      </w:pPr>
    </w:p>
    <w:p w14:paraId="476A0782" w14:textId="77777777" w:rsidR="003D5CC5" w:rsidRPr="00DA6965" w:rsidRDefault="003D5CC5" w:rsidP="003D5CC5">
      <w:pPr>
        <w:numPr>
          <w:ilvl w:val="0"/>
          <w:numId w:val="8"/>
        </w:numPr>
        <w:ind w:left="567" w:hanging="567"/>
        <w:jc w:val="both"/>
        <w:rPr>
          <w:rFonts w:ascii="Century Gothic" w:hAnsi="Century Gothic"/>
          <w:b/>
          <w:sz w:val="22"/>
          <w:szCs w:val="22"/>
        </w:rPr>
      </w:pPr>
      <w:r w:rsidRPr="00DA6965">
        <w:rPr>
          <w:rFonts w:ascii="Century Gothic" w:hAnsi="Century Gothic"/>
          <w:b/>
          <w:sz w:val="22"/>
          <w:szCs w:val="22"/>
        </w:rPr>
        <w:t>Resultados Obtenidos</w:t>
      </w:r>
    </w:p>
    <w:p w14:paraId="49AEE34A" w14:textId="77777777" w:rsidR="003D5CC5" w:rsidRPr="00DA6965" w:rsidRDefault="003D5CC5" w:rsidP="003D5CC5">
      <w:pPr>
        <w:jc w:val="both"/>
        <w:rPr>
          <w:rFonts w:ascii="Century Gothic" w:hAnsi="Century Gothic"/>
          <w:sz w:val="22"/>
        </w:rPr>
      </w:pPr>
      <w:bookmarkStart w:id="2" w:name="_Hlk61597202"/>
      <w:r w:rsidRPr="00DA6965">
        <w:rPr>
          <w:rFonts w:ascii="Century Gothic" w:hAnsi="Century Gothic"/>
          <w:sz w:val="22"/>
        </w:rPr>
        <w:t>De acuerdo con los objetivos establecidos para la revisión</w:t>
      </w:r>
      <w:r w:rsidRPr="00DA6965">
        <w:rPr>
          <w:rFonts w:ascii="Century Gothic" w:hAnsi="Century Gothic" w:cs="Century Gothic"/>
          <w:sz w:val="22"/>
          <w:szCs w:val="22"/>
          <w:lang w:val="es-MX"/>
        </w:rPr>
        <w:t>,</w:t>
      </w:r>
      <w:r w:rsidRPr="00DA6965">
        <w:rPr>
          <w:rFonts w:ascii="Century Gothic" w:hAnsi="Century Gothic"/>
          <w:sz w:val="22"/>
        </w:rPr>
        <w:t xml:space="preserve"> se concluye lo siguiente:</w:t>
      </w:r>
    </w:p>
    <w:p w14:paraId="55525849" w14:textId="77777777" w:rsidR="003D5CC5" w:rsidRPr="00DA6965" w:rsidRDefault="003D5CC5" w:rsidP="003D5CC5">
      <w:pPr>
        <w:jc w:val="both"/>
        <w:rPr>
          <w:rFonts w:ascii="Century Gothic" w:eastAsiaTheme="minorHAnsi" w:hAnsi="Century Gothic"/>
          <w:sz w:val="22"/>
          <w:szCs w:val="22"/>
          <w:lang w:val="es-CR" w:eastAsia="en-US"/>
        </w:rPr>
      </w:pPr>
    </w:p>
    <w:p w14:paraId="5311D085" w14:textId="77777777" w:rsidR="003D5CC5" w:rsidRPr="00DA6965" w:rsidRDefault="003D5CC5" w:rsidP="003D5CC5">
      <w:pPr>
        <w:pStyle w:val="Prrafodelista"/>
        <w:numPr>
          <w:ilvl w:val="0"/>
          <w:numId w:val="10"/>
        </w:numPr>
        <w:overflowPunct w:val="0"/>
        <w:autoSpaceDE w:val="0"/>
        <w:autoSpaceDN w:val="0"/>
        <w:adjustRightInd w:val="0"/>
        <w:ind w:left="426" w:hanging="284"/>
        <w:contextualSpacing/>
        <w:jc w:val="both"/>
        <w:textAlignment w:val="baseline"/>
        <w:rPr>
          <w:rFonts w:ascii="Century Gothic" w:eastAsiaTheme="minorHAnsi" w:hAnsi="Century Gothic"/>
          <w:sz w:val="22"/>
          <w:szCs w:val="22"/>
          <w:lang w:val="es-CR" w:eastAsia="en-US"/>
        </w:rPr>
      </w:pPr>
      <w:r w:rsidRPr="00DA6965">
        <w:rPr>
          <w:rFonts w:ascii="Century Gothic" w:hAnsi="Century Gothic"/>
          <w:sz w:val="22"/>
          <w:szCs w:val="22"/>
        </w:rPr>
        <w:t>Se</w:t>
      </w:r>
      <w:r w:rsidRPr="00DA6965">
        <w:rPr>
          <w:rFonts w:ascii="Century Gothic" w:eastAsiaTheme="minorHAnsi" w:hAnsi="Century Gothic"/>
          <w:sz w:val="22"/>
          <w:szCs w:val="22"/>
          <w:lang w:val="es-CR" w:eastAsia="en-US"/>
        </w:rPr>
        <w:t xml:space="preserve"> logró </w:t>
      </w:r>
      <w:r w:rsidRPr="00DA6965">
        <w:rPr>
          <w:rFonts w:ascii="Century Gothic" w:hAnsi="Century Gothic"/>
          <w:sz w:val="22"/>
          <w:szCs w:val="22"/>
        </w:rPr>
        <w:t>verificar el cumplimiento de la legislación referente a la vigencia de los permisos de portación de armas de los oficiales y supervisores de seguridad de JUPEMA, la remisión semestral del inventario de todas las armas letales de la Institución al Departamento de control de armas del Ministerio de Seguridad.</w:t>
      </w:r>
    </w:p>
    <w:p w14:paraId="6D795CA6" w14:textId="77777777" w:rsidR="003D5CC5" w:rsidRPr="00DA6965" w:rsidRDefault="003D5CC5" w:rsidP="003D5CC5">
      <w:pPr>
        <w:pStyle w:val="Prrafodelista"/>
        <w:overflowPunct w:val="0"/>
        <w:autoSpaceDE w:val="0"/>
        <w:autoSpaceDN w:val="0"/>
        <w:adjustRightInd w:val="0"/>
        <w:ind w:left="426" w:hanging="284"/>
        <w:jc w:val="both"/>
        <w:textAlignment w:val="baseline"/>
        <w:rPr>
          <w:rFonts w:ascii="Century Gothic" w:eastAsiaTheme="minorHAnsi" w:hAnsi="Century Gothic"/>
          <w:sz w:val="22"/>
          <w:szCs w:val="22"/>
          <w:lang w:val="es-CR" w:eastAsia="en-US"/>
        </w:rPr>
      </w:pPr>
    </w:p>
    <w:p w14:paraId="63E44071" w14:textId="77777777" w:rsidR="003D5CC5" w:rsidRPr="00DA6965" w:rsidRDefault="003D5CC5" w:rsidP="003D5CC5">
      <w:pPr>
        <w:pStyle w:val="Prrafodelista"/>
        <w:numPr>
          <w:ilvl w:val="0"/>
          <w:numId w:val="10"/>
        </w:numPr>
        <w:overflowPunct w:val="0"/>
        <w:autoSpaceDE w:val="0"/>
        <w:autoSpaceDN w:val="0"/>
        <w:adjustRightInd w:val="0"/>
        <w:ind w:left="426" w:hanging="284"/>
        <w:contextualSpacing/>
        <w:jc w:val="both"/>
        <w:textAlignment w:val="baseline"/>
        <w:rPr>
          <w:rFonts w:ascii="Century Gothic" w:eastAsiaTheme="minorHAnsi" w:hAnsi="Century Gothic"/>
          <w:sz w:val="22"/>
          <w:szCs w:val="22"/>
          <w:lang w:val="es-CR" w:eastAsia="en-US"/>
        </w:rPr>
      </w:pPr>
      <w:r w:rsidRPr="00DA6965">
        <w:rPr>
          <w:rFonts w:ascii="Century Gothic" w:hAnsi="Century Gothic"/>
          <w:sz w:val="22"/>
          <w:szCs w:val="22"/>
        </w:rPr>
        <w:t>Se constataron las actividades de control establecidas en JUPEMA, para el manejo y resguardo de las armas y sus municiones, determinándose que existe un control y registro formal en bitácora de las armas y equipo de los oficiales de JUPEMA.</w:t>
      </w:r>
      <w:r w:rsidRPr="00DA6965">
        <w:rPr>
          <w:rFonts w:ascii="Century Gothic" w:eastAsiaTheme="minorHAnsi" w:hAnsi="Century Gothic"/>
          <w:sz w:val="22"/>
          <w:szCs w:val="22"/>
          <w:lang w:val="es-CR" w:eastAsia="en-US"/>
        </w:rPr>
        <w:t xml:space="preserve"> </w:t>
      </w:r>
    </w:p>
    <w:p w14:paraId="46891DDF" w14:textId="77777777" w:rsidR="003D5CC5" w:rsidRPr="00DA6965" w:rsidRDefault="003D5CC5" w:rsidP="003D5CC5">
      <w:pPr>
        <w:pStyle w:val="Prrafodelista"/>
        <w:ind w:left="426" w:hanging="284"/>
        <w:rPr>
          <w:rFonts w:ascii="Century Gothic" w:hAnsi="Century Gothic"/>
          <w:sz w:val="22"/>
          <w:szCs w:val="22"/>
        </w:rPr>
      </w:pPr>
    </w:p>
    <w:p w14:paraId="154BC04B" w14:textId="77777777" w:rsidR="003D5CC5" w:rsidRPr="00DA6965" w:rsidRDefault="003D5CC5" w:rsidP="003D5CC5">
      <w:pPr>
        <w:pStyle w:val="Prrafodelista"/>
        <w:numPr>
          <w:ilvl w:val="0"/>
          <w:numId w:val="10"/>
        </w:numPr>
        <w:overflowPunct w:val="0"/>
        <w:autoSpaceDE w:val="0"/>
        <w:autoSpaceDN w:val="0"/>
        <w:adjustRightInd w:val="0"/>
        <w:ind w:left="426" w:hanging="284"/>
        <w:contextualSpacing/>
        <w:jc w:val="both"/>
        <w:textAlignment w:val="baseline"/>
        <w:rPr>
          <w:rFonts w:ascii="Century Gothic" w:eastAsiaTheme="minorHAnsi" w:hAnsi="Century Gothic"/>
          <w:sz w:val="22"/>
          <w:szCs w:val="22"/>
          <w:lang w:val="es-CR" w:eastAsia="en-US"/>
        </w:rPr>
      </w:pPr>
      <w:r w:rsidRPr="00DA6965">
        <w:rPr>
          <w:rFonts w:ascii="Century Gothic" w:eastAsiaTheme="minorHAnsi" w:hAnsi="Century Gothic"/>
          <w:sz w:val="22"/>
          <w:szCs w:val="22"/>
          <w:lang w:val="es-CR" w:eastAsia="en-US"/>
        </w:rPr>
        <w:t xml:space="preserve">Se observaron </w:t>
      </w:r>
      <w:r w:rsidRPr="00DA6965">
        <w:rPr>
          <w:rFonts w:ascii="Century Gothic" w:hAnsi="Century Gothic"/>
          <w:sz w:val="22"/>
        </w:rPr>
        <w:t xml:space="preserve">aspectos susceptibles a mejora en lo referente a la capacitación de los oficiales de seguridad y la conveniencia de incorporar como posibles eventos de riesgo, las </w:t>
      </w:r>
      <w:r w:rsidRPr="00DA6965">
        <w:rPr>
          <w:rFonts w:ascii="Century Gothic" w:hAnsi="Century Gothic"/>
          <w:sz w:val="22"/>
          <w:szCs w:val="22"/>
        </w:rPr>
        <w:t>actividades de seguridad institucional realizadas por empleados de la empresa contratada</w:t>
      </w:r>
      <w:r w:rsidRPr="00DA6965">
        <w:rPr>
          <w:rFonts w:ascii="Century Gothic" w:hAnsi="Century Gothic"/>
          <w:sz w:val="22"/>
        </w:rPr>
        <w:t>.</w:t>
      </w:r>
    </w:p>
    <w:p w14:paraId="161CAD47" w14:textId="77777777" w:rsidR="003D5CC5" w:rsidRPr="00DA6965" w:rsidRDefault="003D5CC5" w:rsidP="003D5CC5">
      <w:pPr>
        <w:ind w:left="426" w:hanging="284"/>
        <w:jc w:val="both"/>
        <w:rPr>
          <w:rFonts w:ascii="Century Gothic" w:eastAsiaTheme="minorHAnsi" w:hAnsi="Century Gothic"/>
          <w:sz w:val="22"/>
          <w:szCs w:val="22"/>
          <w:lang w:val="es-CR" w:eastAsia="en-US"/>
        </w:rPr>
      </w:pPr>
    </w:p>
    <w:p w14:paraId="653040D3" w14:textId="77777777" w:rsidR="003D5CC5" w:rsidRPr="00DA6965" w:rsidRDefault="003D5CC5" w:rsidP="003D5CC5">
      <w:pPr>
        <w:pStyle w:val="Prrafodelista"/>
        <w:numPr>
          <w:ilvl w:val="0"/>
          <w:numId w:val="10"/>
        </w:numPr>
        <w:ind w:left="426" w:hanging="284"/>
        <w:contextualSpacing/>
        <w:jc w:val="both"/>
        <w:rPr>
          <w:rFonts w:ascii="Century Gothic" w:hAnsi="Century Gothic"/>
          <w:sz w:val="22"/>
          <w:szCs w:val="22"/>
        </w:rPr>
      </w:pPr>
      <w:r w:rsidRPr="00DA6965">
        <w:rPr>
          <w:rFonts w:ascii="Century Gothic" w:eastAsiaTheme="minorHAnsi" w:hAnsi="Century Gothic"/>
          <w:sz w:val="22"/>
          <w:szCs w:val="22"/>
          <w:lang w:val="es-CR" w:eastAsia="en-US"/>
        </w:rPr>
        <w:t>En materia presupuestarias se</w:t>
      </w:r>
      <w:r w:rsidRPr="00DA6965">
        <w:rPr>
          <w:rFonts w:ascii="Century Gothic" w:hAnsi="Century Gothic"/>
          <w:sz w:val="22"/>
          <w:szCs w:val="22"/>
        </w:rPr>
        <w:t xml:space="preserve"> verificó específicamente</w:t>
      </w:r>
      <w:r w:rsidRPr="00DA6965">
        <w:rPr>
          <w:rFonts w:ascii="Century Gothic" w:eastAsiaTheme="minorHAnsi" w:hAnsi="Century Gothic"/>
          <w:sz w:val="22"/>
          <w:szCs w:val="22"/>
          <w:lang w:val="es-CR" w:eastAsia="en-US"/>
        </w:rPr>
        <w:t xml:space="preserve"> la</w:t>
      </w:r>
      <w:r w:rsidRPr="00DA6965">
        <w:rPr>
          <w:rFonts w:ascii="Century Gothic" w:hAnsi="Century Gothic"/>
          <w:sz w:val="22"/>
          <w:szCs w:val="22"/>
        </w:rPr>
        <w:t xml:space="preserve"> partida de servicios generales</w:t>
      </w:r>
      <w:r w:rsidRPr="00DA6965">
        <w:rPr>
          <w:rFonts w:ascii="Century Gothic" w:eastAsiaTheme="minorHAnsi" w:hAnsi="Century Gothic"/>
          <w:sz w:val="22"/>
          <w:szCs w:val="22"/>
          <w:lang w:val="es-CR" w:eastAsia="en-US"/>
        </w:rPr>
        <w:t>.</w:t>
      </w:r>
    </w:p>
    <w:bookmarkEnd w:id="2"/>
    <w:p w14:paraId="0733DC29" w14:textId="77777777" w:rsidR="003D5CC5" w:rsidRPr="00DA6965" w:rsidRDefault="003D5CC5" w:rsidP="003D5CC5">
      <w:pPr>
        <w:pStyle w:val="Prrafodelista"/>
        <w:ind w:left="0"/>
        <w:jc w:val="both"/>
        <w:rPr>
          <w:rFonts w:ascii="Century Gothic" w:eastAsia="Calibri" w:hAnsi="Century Gothic" w:cs="Century Gothic"/>
          <w:sz w:val="22"/>
          <w:szCs w:val="22"/>
          <w:lang w:val="es-CR" w:eastAsia="es-CR"/>
        </w:rPr>
      </w:pPr>
    </w:p>
    <w:p w14:paraId="6B91CDE2" w14:textId="77777777" w:rsidR="003D5CC5" w:rsidRPr="00DA6965" w:rsidRDefault="003D5CC5" w:rsidP="003D5CC5">
      <w:pPr>
        <w:overflowPunct w:val="0"/>
        <w:autoSpaceDE w:val="0"/>
        <w:autoSpaceDN w:val="0"/>
        <w:adjustRightInd w:val="0"/>
        <w:jc w:val="both"/>
        <w:textAlignment w:val="baseline"/>
        <w:rPr>
          <w:rFonts w:ascii="Century Gothic" w:hAnsi="Century Gothic"/>
          <w:sz w:val="22"/>
          <w:szCs w:val="22"/>
          <w:lang w:eastAsia="en-US"/>
        </w:rPr>
      </w:pPr>
      <w:r w:rsidRPr="00DA6965">
        <w:rPr>
          <w:rFonts w:ascii="Century Gothic" w:hAnsi="Century Gothic"/>
          <w:sz w:val="22"/>
          <w:szCs w:val="22"/>
          <w:lang w:eastAsia="en-US"/>
        </w:rPr>
        <w:t>En general, pese a que se evidencian algunos aspectos susceptibles a mejora, se concluye que el servicio de seguridad de JUPEMA es apropiado.</w:t>
      </w:r>
    </w:p>
    <w:p w14:paraId="539451C2" w14:textId="77777777" w:rsidR="003D5CC5" w:rsidRPr="00DA6965" w:rsidRDefault="003D5CC5" w:rsidP="003D5CC5">
      <w:pPr>
        <w:overflowPunct w:val="0"/>
        <w:autoSpaceDE w:val="0"/>
        <w:autoSpaceDN w:val="0"/>
        <w:adjustRightInd w:val="0"/>
        <w:jc w:val="both"/>
        <w:textAlignment w:val="baseline"/>
        <w:rPr>
          <w:rFonts w:ascii="Century Gothic" w:hAnsi="Century Gothic"/>
          <w:sz w:val="22"/>
          <w:szCs w:val="22"/>
          <w:highlight w:val="red"/>
          <w:lang w:eastAsia="en-US"/>
        </w:rPr>
      </w:pPr>
    </w:p>
    <w:p w14:paraId="7C1166A6" w14:textId="77777777" w:rsidR="003D5CC5" w:rsidRPr="00DA6965" w:rsidRDefault="003D5CC5" w:rsidP="003D5CC5">
      <w:pPr>
        <w:overflowPunct w:val="0"/>
        <w:autoSpaceDE w:val="0"/>
        <w:autoSpaceDN w:val="0"/>
        <w:adjustRightInd w:val="0"/>
        <w:jc w:val="both"/>
        <w:textAlignment w:val="baseline"/>
        <w:rPr>
          <w:rFonts w:ascii="Century Gothic" w:hAnsi="Century Gothic"/>
          <w:b/>
          <w:sz w:val="22"/>
          <w:szCs w:val="22"/>
          <w:lang w:val="es-ES_tradnl"/>
        </w:rPr>
      </w:pPr>
      <w:r w:rsidRPr="00DA6965">
        <w:rPr>
          <w:rFonts w:ascii="Century Gothic" w:hAnsi="Century Gothic"/>
          <w:sz w:val="22"/>
          <w:szCs w:val="22"/>
          <w:lang w:eastAsia="en-US"/>
        </w:rPr>
        <w:t xml:space="preserve">Esta Auditoría espera que los resultados de la evaluación puedan servir para el crecimiento y mejora de la gestión del área de seguridad, donde se optimen los aspectos de capacitación para que sean más acorde con las necesidades institucionales, se continúen fortaleciendo los protocolos para el manejo y custodia del armamento institucional, para brindar un servicio de calidad que garantice la </w:t>
      </w:r>
      <w:r w:rsidRPr="00DA6965">
        <w:rPr>
          <w:rFonts w:ascii="Century Gothic" w:hAnsi="Century Gothic"/>
          <w:sz w:val="22"/>
          <w:szCs w:val="22"/>
          <w:lang w:eastAsia="en-US"/>
        </w:rPr>
        <w:lastRenderedPageBreak/>
        <w:t>seguridad de los afiliados, funcionarios y el buen resguardo de los activos de la Institución.</w:t>
      </w:r>
    </w:p>
    <w:p w14:paraId="429BF314" w14:textId="77777777" w:rsidR="003D5CC5" w:rsidRPr="00DA6965" w:rsidRDefault="003D5CC5" w:rsidP="003D5CC5">
      <w:pPr>
        <w:jc w:val="both"/>
      </w:pPr>
    </w:p>
    <w:p w14:paraId="73C91B02" w14:textId="77777777" w:rsidR="003D5CC5" w:rsidRPr="00DA6965" w:rsidRDefault="003D5CC5" w:rsidP="003D5CC5">
      <w:pPr>
        <w:jc w:val="both"/>
        <w:rPr>
          <w:rFonts w:ascii="Century Gothic" w:hAnsi="Century Gothic"/>
          <w:sz w:val="22"/>
          <w:szCs w:val="22"/>
        </w:rPr>
      </w:pPr>
      <w:r w:rsidRPr="00DA6965">
        <w:rPr>
          <w:rFonts w:ascii="Century Gothic" w:hAnsi="Century Gothic"/>
          <w:sz w:val="22"/>
          <w:szCs w:val="22"/>
        </w:rPr>
        <w:t>Esta revisión fue aprobada en la Sesión Ordinaria No. 023-2021 del 18 de febrero de 2021</w:t>
      </w:r>
      <w:r>
        <w:rPr>
          <w:rFonts w:ascii="Century Gothic" w:hAnsi="Century Gothic"/>
          <w:sz w:val="22"/>
          <w:szCs w:val="22"/>
        </w:rPr>
        <w:t>.</w:t>
      </w:r>
    </w:p>
    <w:p w14:paraId="051E0647" w14:textId="77777777" w:rsidR="003D5CC5" w:rsidRPr="00DA6965" w:rsidRDefault="003D5CC5" w:rsidP="003D5CC5">
      <w:pPr>
        <w:jc w:val="both"/>
      </w:pPr>
    </w:p>
    <w:p w14:paraId="6BE390A8" w14:textId="77777777" w:rsidR="003D5CC5" w:rsidRPr="009C6626" w:rsidRDefault="003D5CC5" w:rsidP="003D5CC5"/>
    <w:p w14:paraId="14316615" w14:textId="77777777" w:rsidR="003D5CC5" w:rsidRPr="00455A3C" w:rsidRDefault="003D5CC5" w:rsidP="003D5CC5"/>
    <w:p w14:paraId="390579AA" w14:textId="48106859" w:rsidR="00455A3C" w:rsidRPr="003D5CC5" w:rsidRDefault="00455A3C" w:rsidP="003D5CC5"/>
    <w:sectPr w:rsidR="00455A3C" w:rsidRPr="003D5C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3909"/>
    <w:multiLevelType w:val="hybridMultilevel"/>
    <w:tmpl w:val="8530FF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 w15:restartNumberingAfterBreak="0">
    <w:nsid w:val="1227049C"/>
    <w:multiLevelType w:val="multilevel"/>
    <w:tmpl w:val="D3FE70A6"/>
    <w:lvl w:ilvl="0">
      <w:start w:val="1"/>
      <w:numFmt w:val="upperRoman"/>
      <w:lvlText w:val="%1."/>
      <w:lvlJc w:val="left"/>
      <w:pPr>
        <w:tabs>
          <w:tab w:val="num" w:pos="720"/>
        </w:tabs>
        <w:ind w:left="720" w:hanging="720"/>
      </w:pPr>
      <w:rPr>
        <w:rFonts w:hint="default"/>
        <w:b/>
        <w:i w:val="0"/>
        <w:color w:val="auto"/>
        <w:sz w:val="22"/>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8538A9"/>
    <w:multiLevelType w:val="hybridMultilevel"/>
    <w:tmpl w:val="31BEB9AA"/>
    <w:lvl w:ilvl="0" w:tplc="210E5F7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9862BC6"/>
    <w:multiLevelType w:val="multilevel"/>
    <w:tmpl w:val="2F32EBFE"/>
    <w:lvl w:ilvl="0">
      <w:start w:val="1"/>
      <w:numFmt w:val="upperRoman"/>
      <w:lvlText w:val="%1."/>
      <w:lvlJc w:val="right"/>
      <w:pPr>
        <w:ind w:left="720" w:hanging="360"/>
      </w:pPr>
      <w:rPr>
        <w:b/>
        <w:color w:val="auto"/>
      </w:rPr>
    </w:lvl>
    <w:lvl w:ilvl="1">
      <w:start w:val="4"/>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440" w:hanging="108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1800" w:hanging="1440"/>
      </w:pPr>
      <w:rPr>
        <w:rFonts w:hint="default"/>
        <w:b w:val="0"/>
        <w:color w:val="000000"/>
      </w:rPr>
    </w:lvl>
  </w:abstractNum>
  <w:abstractNum w:abstractNumId="4" w15:restartNumberingAfterBreak="0">
    <w:nsid w:val="31651CFA"/>
    <w:multiLevelType w:val="multilevel"/>
    <w:tmpl w:val="F91A13A4"/>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8B060B"/>
    <w:multiLevelType w:val="hybridMultilevel"/>
    <w:tmpl w:val="1D489F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00C601F"/>
    <w:multiLevelType w:val="hybridMultilevel"/>
    <w:tmpl w:val="AEE05DF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7" w15:restartNumberingAfterBreak="0">
    <w:nsid w:val="4E1F2FCD"/>
    <w:multiLevelType w:val="hybridMultilevel"/>
    <w:tmpl w:val="FDA427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B531E1A"/>
    <w:multiLevelType w:val="hybridMultilevel"/>
    <w:tmpl w:val="BDACF98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C8718C6"/>
    <w:multiLevelType w:val="hybridMultilevel"/>
    <w:tmpl w:val="43FA382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4"/>
  </w:num>
  <w:num w:numId="6">
    <w:abstractNumId w:val="6"/>
  </w:num>
  <w:num w:numId="7">
    <w:abstractNumId w:val="0"/>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34"/>
    <w:rsid w:val="002D7314"/>
    <w:rsid w:val="003D5CC5"/>
    <w:rsid w:val="00455A3C"/>
    <w:rsid w:val="009C6626"/>
    <w:rsid w:val="00BA072F"/>
    <w:rsid w:val="00BD777B"/>
    <w:rsid w:val="00C86634"/>
    <w:rsid w:val="00D825A1"/>
    <w:rsid w:val="00DA69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0E70"/>
  <w15:chartTrackingRefBased/>
  <w15:docId w15:val="{64B603DB-1C63-45D8-A314-DD489181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34"/>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C86634"/>
    <w:pPr>
      <w:keepNext/>
      <w:jc w:val="center"/>
      <w:outlineLvl w:val="3"/>
    </w:pPr>
    <w:rPr>
      <w:rFonts w:ascii="Century Gothic" w:hAnsi="Century Gothic" w:cs="Courier New"/>
      <w:b/>
      <w:bCs/>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nforme"/>
    <w:basedOn w:val="Normal"/>
    <w:link w:val="PrrafodelistaCar"/>
    <w:uiPriority w:val="34"/>
    <w:qFormat/>
    <w:rsid w:val="00C86634"/>
    <w:pPr>
      <w:ind w:left="708"/>
    </w:pPr>
  </w:style>
  <w:style w:type="character" w:customStyle="1" w:styleId="PrrafodelistaCar">
    <w:name w:val="Párrafo de lista Car"/>
    <w:aliases w:val="Informe Car"/>
    <w:link w:val="Prrafodelista"/>
    <w:uiPriority w:val="34"/>
    <w:locked/>
    <w:rsid w:val="00C866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6634"/>
    <w:pPr>
      <w:jc w:val="both"/>
    </w:pPr>
    <w:rPr>
      <w:rFonts w:ascii="Arial" w:hAnsi="Arial" w:cs="Arial"/>
      <w:color w:val="000000"/>
    </w:rPr>
  </w:style>
  <w:style w:type="character" w:customStyle="1" w:styleId="TextoindependienteCar">
    <w:name w:val="Texto independiente Car"/>
    <w:basedOn w:val="Fuentedeprrafopredeter"/>
    <w:link w:val="Textoindependiente"/>
    <w:rsid w:val="00C86634"/>
    <w:rPr>
      <w:rFonts w:ascii="Arial" w:eastAsia="Times New Roman" w:hAnsi="Arial" w:cs="Arial"/>
      <w:color w:val="000000"/>
      <w:sz w:val="24"/>
      <w:szCs w:val="24"/>
      <w:lang w:val="es-ES" w:eastAsia="es-ES"/>
    </w:rPr>
  </w:style>
  <w:style w:type="character" w:customStyle="1" w:styleId="Ttulo4Car">
    <w:name w:val="Título 4 Car"/>
    <w:basedOn w:val="Fuentedeprrafopredeter"/>
    <w:link w:val="Ttulo4"/>
    <w:rsid w:val="00C86634"/>
    <w:rPr>
      <w:rFonts w:ascii="Century Gothic" w:eastAsia="Times New Roman" w:hAnsi="Century Gothic" w:cs="Courier New"/>
      <w:b/>
      <w:bCs/>
      <w:color w:val="FF0000"/>
      <w:sz w:val="20"/>
      <w:szCs w:val="24"/>
      <w:lang w:val="es-ES" w:eastAsia="es-ES"/>
    </w:rPr>
  </w:style>
  <w:style w:type="paragraph" w:styleId="Encabezado">
    <w:name w:val="header"/>
    <w:basedOn w:val="Normal"/>
    <w:link w:val="EncabezadoCar"/>
    <w:uiPriority w:val="99"/>
    <w:unhideWhenUsed/>
    <w:rsid w:val="00C86634"/>
    <w:pPr>
      <w:tabs>
        <w:tab w:val="center" w:pos="4419"/>
        <w:tab w:val="right" w:pos="8838"/>
      </w:tabs>
    </w:pPr>
  </w:style>
  <w:style w:type="character" w:customStyle="1" w:styleId="EncabezadoCar">
    <w:name w:val="Encabezado Car"/>
    <w:basedOn w:val="Fuentedeprrafopredeter"/>
    <w:link w:val="Encabezado"/>
    <w:uiPriority w:val="99"/>
    <w:rsid w:val="00C8663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