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3FAEFA" w14:textId="77777777" w:rsidR="00455A3C" w:rsidRPr="00DA6965" w:rsidRDefault="00455A3C" w:rsidP="00455A3C">
      <w:pPr>
        <w:jc w:val="center"/>
        <w:rPr>
          <w:rFonts w:ascii="Century Gothic" w:hAnsi="Century Gothic"/>
          <w:b/>
          <w:bCs/>
          <w:sz w:val="22"/>
          <w:szCs w:val="20"/>
        </w:rPr>
      </w:pPr>
      <w:r w:rsidRPr="00DA6965">
        <w:rPr>
          <w:rFonts w:ascii="Century Gothic" w:hAnsi="Century Gothic"/>
          <w:b/>
          <w:bCs/>
          <w:sz w:val="22"/>
          <w:szCs w:val="20"/>
        </w:rPr>
        <w:t>Estudio No. 03-2021:</w:t>
      </w:r>
    </w:p>
    <w:p w14:paraId="1A286877" w14:textId="77777777" w:rsidR="00455A3C" w:rsidRPr="00DA6965" w:rsidRDefault="00455A3C" w:rsidP="00455A3C">
      <w:pPr>
        <w:jc w:val="center"/>
        <w:rPr>
          <w:rFonts w:ascii="Century Gothic" w:hAnsi="Century Gothic"/>
          <w:b/>
          <w:bCs/>
          <w:sz w:val="22"/>
          <w:szCs w:val="20"/>
        </w:rPr>
      </w:pPr>
      <w:r w:rsidRPr="00DA6965">
        <w:rPr>
          <w:rFonts w:ascii="Century Gothic" w:hAnsi="Century Gothic"/>
          <w:b/>
          <w:bCs/>
          <w:sz w:val="22"/>
          <w:szCs w:val="20"/>
        </w:rPr>
        <w:t>“Recuperación de los saldos insolutos de créditos del RCC”</w:t>
      </w:r>
    </w:p>
    <w:p w14:paraId="1B3C6730" w14:textId="77777777" w:rsidR="00455A3C" w:rsidRPr="00DA6965" w:rsidRDefault="00455A3C" w:rsidP="00455A3C">
      <w:pPr>
        <w:jc w:val="center"/>
        <w:rPr>
          <w:rFonts w:ascii="Century Gothic" w:hAnsi="Century Gothic"/>
          <w:b/>
          <w:bCs/>
          <w:sz w:val="22"/>
          <w:szCs w:val="20"/>
        </w:rPr>
      </w:pPr>
    </w:p>
    <w:p w14:paraId="774F5AA0" w14:textId="77777777" w:rsidR="00455A3C" w:rsidRPr="00DA6965" w:rsidRDefault="00455A3C" w:rsidP="00455A3C">
      <w:pPr>
        <w:pStyle w:val="Prrafodelista"/>
        <w:numPr>
          <w:ilvl w:val="0"/>
          <w:numId w:val="4"/>
        </w:numPr>
        <w:ind w:left="142" w:firstLine="0"/>
        <w:contextualSpacing/>
        <w:rPr>
          <w:rFonts w:ascii="Century Gothic" w:hAnsi="Century Gothic"/>
          <w:sz w:val="22"/>
          <w:szCs w:val="22"/>
        </w:rPr>
      </w:pPr>
      <w:r w:rsidRPr="00DA6965">
        <w:rPr>
          <w:rFonts w:ascii="Century Gothic" w:hAnsi="Century Gothic"/>
          <w:b/>
          <w:bCs/>
          <w:sz w:val="22"/>
          <w:szCs w:val="22"/>
        </w:rPr>
        <w:t>Alcance</w:t>
      </w:r>
    </w:p>
    <w:p w14:paraId="3A54A330" w14:textId="77777777" w:rsidR="00455A3C" w:rsidRPr="00DA6965" w:rsidRDefault="00455A3C" w:rsidP="00455A3C">
      <w:pPr>
        <w:jc w:val="both"/>
        <w:rPr>
          <w:rFonts w:ascii="Century Gothic" w:hAnsi="Century Gothic"/>
          <w:sz w:val="22"/>
          <w:szCs w:val="22"/>
          <w:lang w:val="es-ES_tradnl"/>
        </w:rPr>
      </w:pPr>
      <w:r w:rsidRPr="00DA6965">
        <w:rPr>
          <w:rFonts w:ascii="Century Gothic" w:hAnsi="Century Gothic"/>
          <w:iCs/>
          <w:sz w:val="22"/>
          <w:szCs w:val="22"/>
          <w:lang w:val="es-MX" w:eastAsia="en-US"/>
        </w:rPr>
        <w:t>Revisión del proceso de recuperación de los saldos insolutos de la cartera de créditos del Régimen de Capitalización Colectiva de mayo 2019 a agosto 2020</w:t>
      </w:r>
      <w:r>
        <w:rPr>
          <w:rFonts w:ascii="Century Gothic" w:hAnsi="Century Gothic"/>
          <w:iCs/>
          <w:sz w:val="22"/>
          <w:szCs w:val="22"/>
          <w:lang w:val="es-MX" w:eastAsia="en-US"/>
        </w:rPr>
        <w:t xml:space="preserve"> y actualizada en algunos aspectos a diciembre 2020</w:t>
      </w:r>
      <w:r w:rsidRPr="00DA6965">
        <w:rPr>
          <w:rFonts w:ascii="Century Gothic" w:hAnsi="Century Gothic"/>
          <w:iCs/>
          <w:sz w:val="22"/>
          <w:szCs w:val="22"/>
          <w:lang w:val="es-MX" w:eastAsia="en-US"/>
        </w:rPr>
        <w:t>.</w:t>
      </w:r>
    </w:p>
    <w:p w14:paraId="5C05340A" w14:textId="77777777" w:rsidR="00455A3C" w:rsidRPr="00BA072F" w:rsidRDefault="00455A3C" w:rsidP="00455A3C">
      <w:pPr>
        <w:jc w:val="both"/>
        <w:rPr>
          <w:rFonts w:ascii="Century Gothic" w:hAnsi="Century Gothic"/>
          <w:sz w:val="10"/>
          <w:szCs w:val="10"/>
          <w:lang w:val="es-ES_tradnl"/>
        </w:rPr>
      </w:pPr>
    </w:p>
    <w:p w14:paraId="4EAA4809" w14:textId="77777777" w:rsidR="00455A3C" w:rsidRPr="00DA6965" w:rsidRDefault="00455A3C" w:rsidP="00455A3C">
      <w:pPr>
        <w:jc w:val="both"/>
        <w:rPr>
          <w:rFonts w:ascii="Century Gothic" w:hAnsi="Century Gothic"/>
          <w:sz w:val="20"/>
          <w:szCs w:val="20"/>
          <w:lang w:val="es-ES_tradnl"/>
        </w:rPr>
      </w:pPr>
    </w:p>
    <w:p w14:paraId="759A6A64" w14:textId="77777777" w:rsidR="00455A3C" w:rsidRPr="00DA6965" w:rsidRDefault="00455A3C" w:rsidP="00455A3C">
      <w:pPr>
        <w:pStyle w:val="Prrafodelista"/>
        <w:numPr>
          <w:ilvl w:val="0"/>
          <w:numId w:val="4"/>
        </w:numPr>
        <w:ind w:left="142" w:firstLine="0"/>
        <w:contextualSpacing/>
        <w:rPr>
          <w:rFonts w:ascii="Century Gothic" w:hAnsi="Century Gothic"/>
          <w:sz w:val="22"/>
          <w:szCs w:val="22"/>
          <w:lang w:val="es-ES_tradnl"/>
        </w:rPr>
      </w:pPr>
      <w:r w:rsidRPr="00DA6965">
        <w:rPr>
          <w:rFonts w:ascii="Century Gothic" w:hAnsi="Century Gothic"/>
          <w:b/>
          <w:bCs/>
          <w:sz w:val="22"/>
          <w:szCs w:val="22"/>
        </w:rPr>
        <w:t xml:space="preserve"> Objetivos</w:t>
      </w:r>
    </w:p>
    <w:p w14:paraId="3FF07876" w14:textId="77777777" w:rsidR="00455A3C" w:rsidRPr="00DA6965" w:rsidRDefault="00455A3C" w:rsidP="00455A3C">
      <w:pPr>
        <w:jc w:val="both"/>
        <w:rPr>
          <w:rFonts w:ascii="Century Gothic" w:hAnsi="Century Gothic"/>
          <w:sz w:val="22"/>
          <w:szCs w:val="22"/>
        </w:rPr>
      </w:pPr>
      <w:r w:rsidRPr="00DA6965">
        <w:rPr>
          <w:rFonts w:ascii="Century Gothic" w:hAnsi="Century Gothic"/>
          <w:sz w:val="22"/>
          <w:szCs w:val="22"/>
        </w:rPr>
        <w:t>Para el presente estudio, se definieron los siguientes objetivos:</w:t>
      </w:r>
    </w:p>
    <w:p w14:paraId="074A23B5" w14:textId="77777777" w:rsidR="00455A3C" w:rsidRPr="00DA6965" w:rsidRDefault="00455A3C" w:rsidP="00455A3C">
      <w:pPr>
        <w:autoSpaceDE w:val="0"/>
        <w:autoSpaceDN w:val="0"/>
        <w:adjustRightInd w:val="0"/>
        <w:rPr>
          <w:rFonts w:ascii="Century Gothic" w:eastAsia="Calibri" w:hAnsi="Century Gothic" w:cs="Century Gothic"/>
          <w:lang w:val="es-CR" w:eastAsia="es-CR"/>
        </w:rPr>
      </w:pPr>
    </w:p>
    <w:p w14:paraId="42488C41" w14:textId="77777777" w:rsidR="00455A3C" w:rsidRPr="00DA6965" w:rsidRDefault="00455A3C" w:rsidP="00455A3C">
      <w:pPr>
        <w:pStyle w:val="Prrafodelista"/>
        <w:numPr>
          <w:ilvl w:val="0"/>
          <w:numId w:val="5"/>
        </w:numPr>
        <w:overflowPunct w:val="0"/>
        <w:autoSpaceDE w:val="0"/>
        <w:autoSpaceDN w:val="0"/>
        <w:adjustRightInd w:val="0"/>
        <w:ind w:left="284" w:hanging="284"/>
        <w:contextualSpacing/>
        <w:jc w:val="both"/>
        <w:textAlignment w:val="baseline"/>
        <w:rPr>
          <w:rFonts w:ascii="Century Gothic" w:eastAsia="Calibri" w:hAnsi="Century Gothic" w:cs="Century Gothic"/>
          <w:sz w:val="22"/>
          <w:szCs w:val="22"/>
          <w:lang w:eastAsia="es-CR"/>
        </w:rPr>
      </w:pPr>
      <w:r w:rsidRPr="00DA6965">
        <w:rPr>
          <w:rFonts w:ascii="Century Gothic" w:hAnsi="Century Gothic"/>
          <w:sz w:val="22"/>
          <w:szCs w:val="22"/>
          <w:lang w:val="es-ES_tradnl"/>
        </w:rPr>
        <w:t>Indagar sobre la gestión y recuperación de los saldos insolutos de la cartera de crédito del RCC.</w:t>
      </w:r>
    </w:p>
    <w:p w14:paraId="7439679C" w14:textId="77777777" w:rsidR="00455A3C" w:rsidRPr="00DA6965" w:rsidRDefault="00455A3C" w:rsidP="00455A3C">
      <w:pPr>
        <w:pStyle w:val="Prrafodelista"/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Century Gothic" w:eastAsia="Calibri" w:hAnsi="Century Gothic" w:cs="Century Gothic"/>
          <w:sz w:val="22"/>
          <w:szCs w:val="22"/>
          <w:lang w:eastAsia="es-CR"/>
        </w:rPr>
      </w:pPr>
    </w:p>
    <w:p w14:paraId="5948CF3F" w14:textId="77777777" w:rsidR="00455A3C" w:rsidRPr="00DA6965" w:rsidRDefault="00455A3C" w:rsidP="00455A3C">
      <w:pPr>
        <w:pStyle w:val="Prrafodelista"/>
        <w:numPr>
          <w:ilvl w:val="0"/>
          <w:numId w:val="5"/>
        </w:numPr>
        <w:overflowPunct w:val="0"/>
        <w:autoSpaceDE w:val="0"/>
        <w:autoSpaceDN w:val="0"/>
        <w:adjustRightInd w:val="0"/>
        <w:ind w:left="284" w:hanging="284"/>
        <w:contextualSpacing/>
        <w:jc w:val="both"/>
        <w:textAlignment w:val="baseline"/>
        <w:rPr>
          <w:rFonts w:ascii="Century Gothic" w:eastAsia="Calibri" w:hAnsi="Century Gothic" w:cs="Century Gothic"/>
          <w:sz w:val="22"/>
          <w:szCs w:val="22"/>
          <w:lang w:eastAsia="es-CR"/>
        </w:rPr>
      </w:pPr>
      <w:r w:rsidRPr="00DA6965">
        <w:rPr>
          <w:rFonts w:ascii="Century Gothic" w:hAnsi="Century Gothic"/>
          <w:sz w:val="22"/>
          <w:szCs w:val="22"/>
          <w:lang w:val="es-ES_tradnl"/>
        </w:rPr>
        <w:t>Comprobar el cumplimiento de la normativa vigente y relacionada con el tema bajo estudio.</w:t>
      </w:r>
    </w:p>
    <w:p w14:paraId="59437C3A" w14:textId="77777777" w:rsidR="00455A3C" w:rsidRPr="00BA072F" w:rsidRDefault="00455A3C" w:rsidP="00455A3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entury Gothic" w:eastAsia="Calibri" w:hAnsi="Century Gothic" w:cs="Century Gothic"/>
          <w:sz w:val="10"/>
          <w:szCs w:val="10"/>
          <w:lang w:eastAsia="es-CR"/>
        </w:rPr>
      </w:pPr>
    </w:p>
    <w:p w14:paraId="0D019CD5" w14:textId="77777777" w:rsidR="00455A3C" w:rsidRPr="00DA6965" w:rsidRDefault="00455A3C" w:rsidP="00455A3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entury Gothic" w:eastAsia="Calibri" w:hAnsi="Century Gothic" w:cs="Century Gothic"/>
          <w:sz w:val="20"/>
          <w:szCs w:val="20"/>
          <w:lang w:eastAsia="es-CR"/>
        </w:rPr>
      </w:pPr>
    </w:p>
    <w:p w14:paraId="11EA501A" w14:textId="77777777" w:rsidR="00455A3C" w:rsidRPr="00DA6965" w:rsidRDefault="00455A3C" w:rsidP="00455A3C">
      <w:pPr>
        <w:pStyle w:val="Prrafodelista"/>
        <w:numPr>
          <w:ilvl w:val="0"/>
          <w:numId w:val="4"/>
        </w:numPr>
        <w:ind w:left="284" w:hanging="142"/>
        <w:contextualSpacing/>
        <w:rPr>
          <w:rFonts w:ascii="Century Gothic" w:hAnsi="Century Gothic"/>
          <w:b/>
          <w:sz w:val="22"/>
          <w:szCs w:val="22"/>
        </w:rPr>
      </w:pPr>
      <w:r w:rsidRPr="00DA6965">
        <w:rPr>
          <w:rFonts w:ascii="Century Gothic" w:hAnsi="Century Gothic"/>
          <w:b/>
          <w:sz w:val="22"/>
          <w:szCs w:val="22"/>
        </w:rPr>
        <w:t xml:space="preserve"> Resultados obtenidos</w:t>
      </w:r>
    </w:p>
    <w:p w14:paraId="650FBC2D" w14:textId="77777777" w:rsidR="00455A3C" w:rsidRPr="00DA6965" w:rsidRDefault="00455A3C" w:rsidP="00455A3C">
      <w:pPr>
        <w:pStyle w:val="Textoindependiente"/>
        <w:ind w:right="49"/>
        <w:rPr>
          <w:rFonts w:ascii="Century Gothic" w:hAnsi="Century Gothic"/>
          <w:color w:val="auto"/>
          <w:sz w:val="22"/>
          <w:szCs w:val="22"/>
        </w:rPr>
      </w:pPr>
      <w:r w:rsidRPr="00DA6965">
        <w:rPr>
          <w:rFonts w:ascii="Century Gothic" w:hAnsi="Century Gothic"/>
          <w:color w:val="auto"/>
          <w:sz w:val="22"/>
          <w:szCs w:val="22"/>
        </w:rPr>
        <w:t>De conformidad con los objetivos propuestos para esta revisión, se concluye:</w:t>
      </w:r>
    </w:p>
    <w:p w14:paraId="27B2F62C" w14:textId="77777777" w:rsidR="00455A3C" w:rsidRPr="00BA072F" w:rsidRDefault="00455A3C" w:rsidP="00455A3C">
      <w:pPr>
        <w:pStyle w:val="Textoindependiente"/>
        <w:ind w:right="49"/>
        <w:rPr>
          <w:rFonts w:ascii="Century Gothic" w:hAnsi="Century Gothic"/>
          <w:color w:val="auto"/>
          <w:sz w:val="16"/>
          <w:szCs w:val="16"/>
        </w:rPr>
      </w:pPr>
    </w:p>
    <w:p w14:paraId="179AB813" w14:textId="77777777" w:rsidR="00455A3C" w:rsidRPr="00DA6965" w:rsidRDefault="00455A3C" w:rsidP="00455A3C">
      <w:pPr>
        <w:pStyle w:val="Textoindependiente"/>
        <w:numPr>
          <w:ilvl w:val="0"/>
          <w:numId w:val="3"/>
        </w:numPr>
        <w:ind w:left="426" w:right="49" w:hanging="284"/>
        <w:rPr>
          <w:rFonts w:ascii="Century Gothic" w:hAnsi="Century Gothic"/>
          <w:color w:val="auto"/>
          <w:sz w:val="22"/>
          <w:szCs w:val="22"/>
        </w:rPr>
      </w:pPr>
      <w:r w:rsidRPr="00DA6965">
        <w:rPr>
          <w:rFonts w:ascii="Century Gothic" w:hAnsi="Century Gothic"/>
          <w:color w:val="auto"/>
          <w:sz w:val="22"/>
          <w:szCs w:val="22"/>
        </w:rPr>
        <w:t>Al revisar el proceso de gestión de cobro de los créditos de deudores fallecidos con saldos insolutos, se determinó:</w:t>
      </w:r>
    </w:p>
    <w:p w14:paraId="25946C53" w14:textId="77777777" w:rsidR="00455A3C" w:rsidRPr="00DA6965" w:rsidRDefault="00455A3C" w:rsidP="00455A3C">
      <w:pPr>
        <w:pStyle w:val="Textoindependiente"/>
        <w:ind w:left="426" w:right="49"/>
        <w:rPr>
          <w:rFonts w:ascii="Century Gothic" w:hAnsi="Century Gothic"/>
          <w:color w:val="auto"/>
          <w:sz w:val="16"/>
          <w:szCs w:val="16"/>
        </w:rPr>
      </w:pPr>
    </w:p>
    <w:p w14:paraId="4A0C6134" w14:textId="77777777" w:rsidR="00455A3C" w:rsidRPr="00DA6965" w:rsidRDefault="00455A3C" w:rsidP="00455A3C">
      <w:pPr>
        <w:pStyle w:val="Textoindependiente"/>
        <w:numPr>
          <w:ilvl w:val="0"/>
          <w:numId w:val="6"/>
        </w:numPr>
        <w:ind w:right="49"/>
        <w:rPr>
          <w:rFonts w:ascii="Century Gothic" w:hAnsi="Century Gothic"/>
          <w:color w:val="auto"/>
          <w:sz w:val="20"/>
          <w:szCs w:val="20"/>
        </w:rPr>
      </w:pPr>
      <w:r w:rsidRPr="00DA6965">
        <w:rPr>
          <w:rFonts w:ascii="Century Gothic" w:hAnsi="Century Gothic"/>
          <w:color w:val="auto"/>
          <w:sz w:val="20"/>
          <w:szCs w:val="20"/>
        </w:rPr>
        <w:t>Los saldos insolutos representan un 0,29% del saldo de la cartera de créditos concedidos con recursos del RCC al 31/12/2020.</w:t>
      </w:r>
    </w:p>
    <w:p w14:paraId="57F9D271" w14:textId="77777777" w:rsidR="00455A3C" w:rsidRPr="00DA6965" w:rsidRDefault="00455A3C" w:rsidP="00455A3C">
      <w:pPr>
        <w:pStyle w:val="Textoindependiente"/>
        <w:ind w:left="1146" w:right="49"/>
        <w:rPr>
          <w:rFonts w:ascii="Century Gothic" w:hAnsi="Century Gothic"/>
          <w:color w:val="auto"/>
          <w:sz w:val="14"/>
          <w:szCs w:val="14"/>
        </w:rPr>
      </w:pPr>
    </w:p>
    <w:p w14:paraId="260B2EFD" w14:textId="77777777" w:rsidR="00455A3C" w:rsidRPr="00DA6965" w:rsidRDefault="00455A3C" w:rsidP="00455A3C">
      <w:pPr>
        <w:pStyle w:val="Textoindependiente"/>
        <w:numPr>
          <w:ilvl w:val="0"/>
          <w:numId w:val="6"/>
        </w:numPr>
        <w:ind w:right="49"/>
        <w:rPr>
          <w:rFonts w:ascii="Century Gothic" w:hAnsi="Century Gothic"/>
          <w:color w:val="auto"/>
          <w:sz w:val="20"/>
          <w:szCs w:val="20"/>
        </w:rPr>
      </w:pPr>
      <w:r w:rsidRPr="00DA6965">
        <w:rPr>
          <w:rFonts w:ascii="Century Gothic" w:hAnsi="Century Gothic"/>
          <w:color w:val="auto"/>
          <w:sz w:val="20"/>
          <w:szCs w:val="20"/>
        </w:rPr>
        <w:t xml:space="preserve">Los saldos insolutos a la fecha de esta revisión fueron concedidos en un 94% a pensionados y principalmente en las líneas denominadas Personal, Refundición de deuda y </w:t>
      </w:r>
      <w:proofErr w:type="spellStart"/>
      <w:r w:rsidRPr="00DA6965">
        <w:rPr>
          <w:rFonts w:ascii="Century Gothic" w:hAnsi="Century Gothic"/>
          <w:color w:val="auto"/>
          <w:sz w:val="20"/>
          <w:szCs w:val="20"/>
        </w:rPr>
        <w:t>Creditodo</w:t>
      </w:r>
      <w:proofErr w:type="spellEnd"/>
      <w:r w:rsidRPr="00DA6965">
        <w:rPr>
          <w:rFonts w:ascii="Century Gothic" w:hAnsi="Century Gothic"/>
          <w:color w:val="auto"/>
          <w:sz w:val="20"/>
          <w:szCs w:val="20"/>
        </w:rPr>
        <w:t xml:space="preserve"> (75,8%).</w:t>
      </w:r>
    </w:p>
    <w:p w14:paraId="16167601" w14:textId="77777777" w:rsidR="00455A3C" w:rsidRPr="00DA6965" w:rsidRDefault="00455A3C" w:rsidP="00455A3C">
      <w:pPr>
        <w:pStyle w:val="Prrafodelista"/>
        <w:rPr>
          <w:rFonts w:ascii="Century Gothic" w:hAnsi="Century Gothic"/>
          <w:sz w:val="14"/>
          <w:szCs w:val="14"/>
        </w:rPr>
      </w:pPr>
    </w:p>
    <w:p w14:paraId="76B9D2E3" w14:textId="77777777" w:rsidR="00455A3C" w:rsidRPr="00DA6965" w:rsidRDefault="00455A3C" w:rsidP="00455A3C">
      <w:pPr>
        <w:pStyle w:val="Textoindependiente"/>
        <w:numPr>
          <w:ilvl w:val="0"/>
          <w:numId w:val="6"/>
        </w:numPr>
        <w:ind w:right="49"/>
        <w:rPr>
          <w:rFonts w:ascii="Century Gothic" w:hAnsi="Century Gothic"/>
          <w:color w:val="auto"/>
          <w:sz w:val="20"/>
          <w:szCs w:val="20"/>
        </w:rPr>
      </w:pPr>
      <w:r w:rsidRPr="00DA6965">
        <w:rPr>
          <w:rFonts w:ascii="Century Gothic" w:hAnsi="Century Gothic"/>
          <w:color w:val="auto"/>
          <w:sz w:val="20"/>
          <w:szCs w:val="20"/>
        </w:rPr>
        <w:t>Un 69% de estas operaciones están respaldadas con un seguro de caución y que un 91,28% posee pignoración de póliza de la SSVMN o de saldos deudores con el INS.</w:t>
      </w:r>
    </w:p>
    <w:p w14:paraId="51DC3617" w14:textId="77777777" w:rsidR="00455A3C" w:rsidRPr="00DA6965" w:rsidRDefault="00455A3C" w:rsidP="00455A3C">
      <w:pPr>
        <w:pStyle w:val="Prrafodelista"/>
        <w:rPr>
          <w:rFonts w:ascii="Century Gothic" w:hAnsi="Century Gothic"/>
          <w:sz w:val="22"/>
          <w:szCs w:val="22"/>
        </w:rPr>
      </w:pPr>
    </w:p>
    <w:p w14:paraId="0813F24A" w14:textId="77777777" w:rsidR="00455A3C" w:rsidRPr="00DA6965" w:rsidRDefault="00455A3C" w:rsidP="00455A3C">
      <w:pPr>
        <w:pStyle w:val="Textoindependiente"/>
        <w:ind w:left="426" w:right="49"/>
        <w:rPr>
          <w:rFonts w:ascii="Century Gothic" w:hAnsi="Century Gothic"/>
          <w:color w:val="auto"/>
          <w:sz w:val="22"/>
          <w:szCs w:val="22"/>
        </w:rPr>
      </w:pPr>
      <w:r w:rsidRPr="00DA6965">
        <w:rPr>
          <w:rFonts w:ascii="Century Gothic" w:hAnsi="Century Gothic"/>
          <w:color w:val="auto"/>
          <w:sz w:val="22"/>
          <w:szCs w:val="22"/>
        </w:rPr>
        <w:t>Además, se establecieron oportunidades de mejora en lo referente a:</w:t>
      </w:r>
    </w:p>
    <w:p w14:paraId="0042C3DF" w14:textId="77777777" w:rsidR="00455A3C" w:rsidRPr="00DA6965" w:rsidRDefault="00455A3C" w:rsidP="00455A3C">
      <w:pPr>
        <w:pStyle w:val="Textoindependiente"/>
        <w:ind w:left="426" w:right="49"/>
        <w:rPr>
          <w:rFonts w:ascii="Century Gothic" w:hAnsi="Century Gothic"/>
          <w:color w:val="auto"/>
          <w:sz w:val="16"/>
          <w:szCs w:val="16"/>
        </w:rPr>
      </w:pPr>
    </w:p>
    <w:p w14:paraId="1C610453" w14:textId="77777777" w:rsidR="00455A3C" w:rsidRPr="00DA6965" w:rsidRDefault="00455A3C" w:rsidP="00455A3C">
      <w:pPr>
        <w:pStyle w:val="Textoindependiente"/>
        <w:numPr>
          <w:ilvl w:val="0"/>
          <w:numId w:val="7"/>
        </w:numPr>
        <w:ind w:right="49"/>
        <w:rPr>
          <w:rFonts w:ascii="Century Gothic" w:hAnsi="Century Gothic"/>
          <w:color w:val="auto"/>
          <w:sz w:val="20"/>
          <w:szCs w:val="20"/>
        </w:rPr>
      </w:pPr>
      <w:r w:rsidRPr="00DA6965">
        <w:rPr>
          <w:rFonts w:ascii="Century Gothic" w:hAnsi="Century Gothic"/>
          <w:color w:val="auto"/>
          <w:sz w:val="20"/>
          <w:szCs w:val="20"/>
        </w:rPr>
        <w:t>Llevar un adecuado control de las fechas y/o acciones que se efectúan para localizar a los beneficiarios, ya que no existe un documento formal u anotaciones en un sistema sobre estas.</w:t>
      </w:r>
    </w:p>
    <w:p w14:paraId="50EFB47A" w14:textId="77777777" w:rsidR="00455A3C" w:rsidRPr="00DA6965" w:rsidRDefault="00455A3C" w:rsidP="00455A3C">
      <w:pPr>
        <w:pStyle w:val="Textoindependiente"/>
        <w:ind w:left="1146" w:right="49"/>
        <w:rPr>
          <w:rFonts w:ascii="Century Gothic" w:hAnsi="Century Gothic"/>
          <w:color w:val="auto"/>
          <w:sz w:val="14"/>
          <w:szCs w:val="14"/>
        </w:rPr>
      </w:pPr>
    </w:p>
    <w:p w14:paraId="16EB89C2" w14:textId="77777777" w:rsidR="00455A3C" w:rsidRPr="00DA6965" w:rsidRDefault="00455A3C" w:rsidP="00455A3C">
      <w:pPr>
        <w:pStyle w:val="Textoindependiente"/>
        <w:numPr>
          <w:ilvl w:val="0"/>
          <w:numId w:val="7"/>
        </w:numPr>
        <w:ind w:right="49"/>
        <w:rPr>
          <w:rFonts w:ascii="Century Gothic" w:hAnsi="Century Gothic"/>
          <w:color w:val="auto"/>
          <w:sz w:val="20"/>
          <w:szCs w:val="20"/>
        </w:rPr>
      </w:pPr>
      <w:r w:rsidRPr="00DA6965">
        <w:rPr>
          <w:rFonts w:ascii="Century Gothic" w:hAnsi="Century Gothic"/>
          <w:color w:val="auto"/>
          <w:sz w:val="20"/>
          <w:szCs w:val="20"/>
        </w:rPr>
        <w:t>Que la gestión para obtener la constancia digital sea más oportuna.</w:t>
      </w:r>
    </w:p>
    <w:p w14:paraId="65109E5B" w14:textId="77777777" w:rsidR="00455A3C" w:rsidRPr="00DA6965" w:rsidRDefault="00455A3C" w:rsidP="00455A3C">
      <w:pPr>
        <w:pStyle w:val="Textoindependiente"/>
        <w:ind w:left="1146" w:right="266"/>
        <w:rPr>
          <w:rFonts w:ascii="Century Gothic" w:hAnsi="Century Gothic"/>
          <w:color w:val="auto"/>
          <w:sz w:val="14"/>
          <w:szCs w:val="14"/>
        </w:rPr>
      </w:pPr>
    </w:p>
    <w:p w14:paraId="499802D1" w14:textId="77777777" w:rsidR="00455A3C" w:rsidRPr="00DA6965" w:rsidRDefault="00455A3C" w:rsidP="00455A3C">
      <w:pPr>
        <w:pStyle w:val="Textoindependiente"/>
        <w:numPr>
          <w:ilvl w:val="0"/>
          <w:numId w:val="7"/>
        </w:numPr>
        <w:ind w:right="266"/>
        <w:rPr>
          <w:rFonts w:ascii="Century Gothic" w:hAnsi="Century Gothic"/>
          <w:color w:val="auto"/>
          <w:sz w:val="20"/>
          <w:szCs w:val="20"/>
        </w:rPr>
      </w:pPr>
      <w:r w:rsidRPr="00DA6965">
        <w:rPr>
          <w:rFonts w:ascii="Century Gothic" w:hAnsi="Century Gothic"/>
          <w:color w:val="auto"/>
          <w:sz w:val="20"/>
          <w:szCs w:val="20"/>
        </w:rPr>
        <w:t xml:space="preserve">Aspectos o actividades que podrían incorporarse en el Instructivo Control de Fallecidos y Cobro de Saldos Insolutos de Créditos del RCC y RTR (P14-IT-018). </w:t>
      </w:r>
    </w:p>
    <w:p w14:paraId="67B0EC22" w14:textId="77777777" w:rsidR="00455A3C" w:rsidRPr="00DA6965" w:rsidRDefault="00455A3C" w:rsidP="00455A3C">
      <w:pPr>
        <w:pStyle w:val="Textoindependiente"/>
        <w:ind w:left="426" w:right="49"/>
        <w:rPr>
          <w:rFonts w:ascii="Century Gothic" w:hAnsi="Century Gothic"/>
          <w:color w:val="auto"/>
          <w:sz w:val="22"/>
          <w:szCs w:val="22"/>
          <w:highlight w:val="yellow"/>
        </w:rPr>
      </w:pPr>
    </w:p>
    <w:p w14:paraId="095FB6E3" w14:textId="77777777" w:rsidR="00455A3C" w:rsidRPr="00DA6965" w:rsidRDefault="00455A3C" w:rsidP="00455A3C">
      <w:pPr>
        <w:pStyle w:val="Textoindependiente"/>
        <w:numPr>
          <w:ilvl w:val="0"/>
          <w:numId w:val="3"/>
        </w:numPr>
        <w:ind w:left="426" w:right="266" w:hanging="284"/>
        <w:rPr>
          <w:rFonts w:ascii="Century Gothic" w:hAnsi="Century Gothic"/>
          <w:color w:val="auto"/>
          <w:sz w:val="22"/>
          <w:szCs w:val="22"/>
        </w:rPr>
      </w:pPr>
      <w:r w:rsidRPr="00DA6965">
        <w:rPr>
          <w:rFonts w:ascii="Century Gothic" w:hAnsi="Century Gothic"/>
          <w:color w:val="auto"/>
          <w:sz w:val="22"/>
          <w:szCs w:val="22"/>
        </w:rPr>
        <w:t>Se verificó el cumplimiento de la normativa relacionada con el tema en estudio, sin aspectos que comunicar.</w:t>
      </w:r>
    </w:p>
    <w:p w14:paraId="37F7D079" w14:textId="77777777" w:rsidR="00455A3C" w:rsidRPr="00DA6965" w:rsidRDefault="00455A3C" w:rsidP="00455A3C">
      <w:pPr>
        <w:jc w:val="both"/>
      </w:pPr>
    </w:p>
    <w:p w14:paraId="390579AA" w14:textId="77777777" w:rsidR="00455A3C" w:rsidRPr="00DA6965" w:rsidRDefault="00455A3C" w:rsidP="00455A3C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Este estudio</w:t>
      </w:r>
      <w:r w:rsidRPr="00DA6965">
        <w:rPr>
          <w:rFonts w:ascii="Century Gothic" w:hAnsi="Century Gothic"/>
          <w:sz w:val="22"/>
          <w:szCs w:val="22"/>
        </w:rPr>
        <w:t xml:space="preserve"> fue aprobad</w:t>
      </w:r>
      <w:r>
        <w:rPr>
          <w:rFonts w:ascii="Century Gothic" w:hAnsi="Century Gothic"/>
          <w:sz w:val="22"/>
          <w:szCs w:val="22"/>
        </w:rPr>
        <w:t>o</w:t>
      </w:r>
      <w:r w:rsidRPr="00DA6965">
        <w:rPr>
          <w:rFonts w:ascii="Century Gothic" w:hAnsi="Century Gothic"/>
          <w:sz w:val="22"/>
          <w:szCs w:val="22"/>
        </w:rPr>
        <w:t xml:space="preserve"> en la Sesión Ordinaria No. 023-2021 del 18 de febrero de 2021</w:t>
      </w:r>
      <w:r>
        <w:rPr>
          <w:rFonts w:ascii="Century Gothic" w:hAnsi="Century Gothic"/>
          <w:sz w:val="22"/>
          <w:szCs w:val="22"/>
        </w:rPr>
        <w:t>.</w:t>
      </w:r>
    </w:p>
    <w:sectPr w:rsidR="00455A3C" w:rsidRPr="00DA696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D3909"/>
    <w:multiLevelType w:val="hybridMultilevel"/>
    <w:tmpl w:val="8530FF36"/>
    <w:lvl w:ilvl="0" w:tplc="1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227049C"/>
    <w:multiLevelType w:val="multilevel"/>
    <w:tmpl w:val="D3FE70A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auto"/>
        <w:sz w:val="22"/>
      </w:rPr>
    </w:lvl>
    <w:lvl w:ilvl="1">
      <w:start w:val="4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D8538A9"/>
    <w:multiLevelType w:val="hybridMultilevel"/>
    <w:tmpl w:val="31BEB9AA"/>
    <w:lvl w:ilvl="0" w:tplc="210E5F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62BC6"/>
    <w:multiLevelType w:val="multilevel"/>
    <w:tmpl w:val="2F32EBFE"/>
    <w:lvl w:ilvl="0">
      <w:start w:val="1"/>
      <w:numFmt w:val="upperRoman"/>
      <w:lvlText w:val="%1."/>
      <w:lvlJc w:val="right"/>
      <w:pPr>
        <w:ind w:left="720" w:hanging="360"/>
      </w:pPr>
      <w:rPr>
        <w:b/>
        <w:color w:val="auto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 w:val="0"/>
        <w:color w:val="000000"/>
      </w:rPr>
    </w:lvl>
  </w:abstractNum>
  <w:abstractNum w:abstractNumId="4" w15:restartNumberingAfterBreak="0">
    <w:nsid w:val="31651CFA"/>
    <w:multiLevelType w:val="multilevel"/>
    <w:tmpl w:val="F91A13A4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78B060B"/>
    <w:multiLevelType w:val="hybridMultilevel"/>
    <w:tmpl w:val="1D489F2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0C601F"/>
    <w:multiLevelType w:val="hybridMultilevel"/>
    <w:tmpl w:val="AEE05DF6"/>
    <w:lvl w:ilvl="0" w:tplc="1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4E1F2FCD"/>
    <w:multiLevelType w:val="hybridMultilevel"/>
    <w:tmpl w:val="FDA427B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531E1A"/>
    <w:multiLevelType w:val="hybridMultilevel"/>
    <w:tmpl w:val="BDACF98A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8718C6"/>
    <w:multiLevelType w:val="hybridMultilevel"/>
    <w:tmpl w:val="43FA3828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634"/>
    <w:rsid w:val="002D7314"/>
    <w:rsid w:val="00455A3C"/>
    <w:rsid w:val="009C6626"/>
    <w:rsid w:val="00BA072F"/>
    <w:rsid w:val="00BD777B"/>
    <w:rsid w:val="00C86634"/>
    <w:rsid w:val="00D825A1"/>
    <w:rsid w:val="00DA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A0E70"/>
  <w15:chartTrackingRefBased/>
  <w15:docId w15:val="{64B603DB-1C63-45D8-A314-DD4891813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6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C86634"/>
    <w:pPr>
      <w:keepNext/>
      <w:jc w:val="center"/>
      <w:outlineLvl w:val="3"/>
    </w:pPr>
    <w:rPr>
      <w:rFonts w:ascii="Century Gothic" w:hAnsi="Century Gothic" w:cs="Courier New"/>
      <w:b/>
      <w:bCs/>
      <w:color w:val="FF000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Informe"/>
    <w:basedOn w:val="Normal"/>
    <w:link w:val="PrrafodelistaCar"/>
    <w:uiPriority w:val="34"/>
    <w:qFormat/>
    <w:rsid w:val="00C86634"/>
    <w:pPr>
      <w:ind w:left="708"/>
    </w:pPr>
  </w:style>
  <w:style w:type="character" w:customStyle="1" w:styleId="PrrafodelistaCar">
    <w:name w:val="Párrafo de lista Car"/>
    <w:aliases w:val="Informe Car"/>
    <w:link w:val="Prrafodelista"/>
    <w:uiPriority w:val="34"/>
    <w:locked/>
    <w:rsid w:val="00C8663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C86634"/>
    <w:pPr>
      <w:jc w:val="both"/>
    </w:pPr>
    <w:rPr>
      <w:rFonts w:ascii="Arial" w:hAnsi="Arial" w:cs="Arial"/>
      <w:color w:val="000000"/>
    </w:rPr>
  </w:style>
  <w:style w:type="character" w:customStyle="1" w:styleId="TextoindependienteCar">
    <w:name w:val="Texto independiente Car"/>
    <w:basedOn w:val="Fuentedeprrafopredeter"/>
    <w:link w:val="Textoindependiente"/>
    <w:rsid w:val="00C86634"/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86634"/>
    <w:rPr>
      <w:rFonts w:ascii="Century Gothic" w:eastAsia="Times New Roman" w:hAnsi="Century Gothic" w:cs="Courier New"/>
      <w:b/>
      <w:bCs/>
      <w:color w:val="FF0000"/>
      <w:sz w:val="20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C8663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6634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/>
</file>