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C18A8" w14:textId="77777777" w:rsidR="0002778F" w:rsidRPr="00C97151" w:rsidRDefault="0002778F" w:rsidP="0002778F">
      <w:pPr>
        <w:pStyle w:val="Ttulo4"/>
        <w:rPr>
          <w:color w:val="002060"/>
          <w:sz w:val="22"/>
          <w:szCs w:val="22"/>
        </w:rPr>
      </w:pPr>
      <w:r w:rsidRPr="00C97151">
        <w:rPr>
          <w:color w:val="002060"/>
          <w:sz w:val="22"/>
          <w:szCs w:val="22"/>
        </w:rPr>
        <w:t>Estudio No. 18-2020:</w:t>
      </w:r>
    </w:p>
    <w:p w14:paraId="32DACA69" w14:textId="77777777" w:rsidR="0002778F" w:rsidRDefault="0002778F" w:rsidP="0002778F">
      <w:pPr>
        <w:pStyle w:val="Ttulo4"/>
        <w:rPr>
          <w:color w:val="002060"/>
          <w:sz w:val="22"/>
          <w:szCs w:val="22"/>
        </w:rPr>
      </w:pPr>
      <w:r w:rsidRPr="00C97151">
        <w:rPr>
          <w:color w:val="002060"/>
          <w:sz w:val="22"/>
          <w:szCs w:val="22"/>
        </w:rPr>
        <w:t xml:space="preserve">Evaluación de la Implementación de Servidores y Calidad </w:t>
      </w:r>
    </w:p>
    <w:p w14:paraId="0E93EED8" w14:textId="77777777" w:rsidR="0002778F" w:rsidRPr="00C97151" w:rsidRDefault="0002778F" w:rsidP="0002778F">
      <w:pPr>
        <w:pStyle w:val="Ttulo4"/>
        <w:rPr>
          <w:color w:val="002060"/>
          <w:sz w:val="22"/>
          <w:szCs w:val="22"/>
        </w:rPr>
      </w:pPr>
      <w:r w:rsidRPr="00C97151">
        <w:rPr>
          <w:color w:val="002060"/>
          <w:sz w:val="22"/>
          <w:szCs w:val="22"/>
        </w:rPr>
        <w:t>de Software (QA) en JUPEMA</w:t>
      </w:r>
    </w:p>
    <w:p w14:paraId="5C3E9FFF" w14:textId="77777777" w:rsidR="0002778F" w:rsidRPr="00C97151" w:rsidRDefault="0002778F" w:rsidP="0002778F">
      <w:pPr>
        <w:rPr>
          <w:color w:val="002060"/>
        </w:rPr>
      </w:pPr>
    </w:p>
    <w:p w14:paraId="698CD712" w14:textId="77777777" w:rsidR="0002778F" w:rsidRPr="00643B82" w:rsidRDefault="0002778F" w:rsidP="0002778F">
      <w:pPr>
        <w:numPr>
          <w:ilvl w:val="0"/>
          <w:numId w:val="13"/>
        </w:numPr>
        <w:ind w:left="284" w:hanging="284"/>
        <w:contextualSpacing/>
        <w:rPr>
          <w:rFonts w:ascii="Century Gothic" w:hAnsi="Century Gothic"/>
          <w:b/>
          <w:bCs/>
          <w:color w:val="002060"/>
          <w:sz w:val="22"/>
          <w:szCs w:val="22"/>
        </w:rPr>
      </w:pPr>
      <w:r w:rsidRPr="00643B82">
        <w:rPr>
          <w:rFonts w:ascii="Century Gothic" w:hAnsi="Century Gothic"/>
          <w:b/>
          <w:bCs/>
          <w:color w:val="002060"/>
          <w:sz w:val="22"/>
          <w:szCs w:val="22"/>
        </w:rPr>
        <w:t>Alcance</w:t>
      </w:r>
    </w:p>
    <w:p w14:paraId="5B23BAC8" w14:textId="77777777" w:rsidR="0002778F" w:rsidRPr="00643B82" w:rsidRDefault="0002778F" w:rsidP="0002778F">
      <w:pPr>
        <w:jc w:val="both"/>
        <w:outlineLvl w:val="0"/>
        <w:rPr>
          <w:rFonts w:ascii="Century Gothic" w:hAnsi="Century Gothic"/>
          <w:iCs/>
          <w:sz w:val="22"/>
          <w:szCs w:val="22"/>
          <w:lang w:val="es-MX"/>
        </w:rPr>
      </w:pPr>
      <w:r w:rsidRPr="00643B82">
        <w:rPr>
          <w:rFonts w:ascii="Century Gothic" w:eastAsia="Calibri" w:hAnsi="Century Gothic"/>
          <w:sz w:val="22"/>
          <w:szCs w:val="20"/>
          <w:lang w:eastAsia="en-US"/>
        </w:rPr>
        <w:t>Determinar las actividades realizadas por el Departamento de Tecnologías de Información en la implementación de los servidores en la infraestructura tecnológica, así como las actividades efectuadas por la responsable de aplicar Calidad de Software (QA), a los requerimientos que son colocados en el ambiente de producción</w:t>
      </w:r>
      <w:r w:rsidRPr="00643B82">
        <w:rPr>
          <w:rFonts w:ascii="Century Gothic" w:hAnsi="Century Gothic"/>
          <w:iCs/>
          <w:sz w:val="22"/>
          <w:szCs w:val="22"/>
          <w:lang w:eastAsia="en-US"/>
        </w:rPr>
        <w:t>.</w:t>
      </w:r>
    </w:p>
    <w:p w14:paraId="04C1846B" w14:textId="77777777" w:rsidR="0002778F" w:rsidRPr="00643B82" w:rsidRDefault="0002778F" w:rsidP="0002778F">
      <w:pPr>
        <w:jc w:val="both"/>
        <w:outlineLvl w:val="0"/>
        <w:rPr>
          <w:rFonts w:ascii="Century Gothic" w:hAnsi="Century Gothic"/>
          <w:iCs/>
          <w:sz w:val="22"/>
          <w:szCs w:val="22"/>
          <w:lang w:val="es-MX"/>
        </w:rPr>
      </w:pPr>
    </w:p>
    <w:p w14:paraId="0F01B6B8" w14:textId="77777777" w:rsidR="0002778F" w:rsidRPr="00643B82" w:rsidRDefault="0002778F" w:rsidP="0002778F">
      <w:pPr>
        <w:jc w:val="both"/>
        <w:outlineLvl w:val="0"/>
        <w:rPr>
          <w:rFonts w:ascii="Century Gothic" w:hAnsi="Century Gothic"/>
          <w:iCs/>
          <w:sz w:val="22"/>
          <w:szCs w:val="22"/>
          <w:lang w:val="es-MX"/>
        </w:rPr>
      </w:pPr>
    </w:p>
    <w:p w14:paraId="4FCB6D03" w14:textId="77777777" w:rsidR="0002778F" w:rsidRPr="00643B82" w:rsidRDefault="0002778F" w:rsidP="0002778F">
      <w:pPr>
        <w:numPr>
          <w:ilvl w:val="0"/>
          <w:numId w:val="13"/>
        </w:numPr>
        <w:ind w:left="284" w:hanging="284"/>
        <w:contextualSpacing/>
        <w:rPr>
          <w:rFonts w:ascii="Century Gothic" w:hAnsi="Century Gothic"/>
          <w:b/>
          <w:bCs/>
          <w:color w:val="002060"/>
          <w:sz w:val="22"/>
          <w:szCs w:val="22"/>
        </w:rPr>
      </w:pPr>
      <w:r w:rsidRPr="00643B82">
        <w:rPr>
          <w:rFonts w:ascii="Century Gothic" w:hAnsi="Century Gothic"/>
          <w:b/>
          <w:bCs/>
          <w:color w:val="002060"/>
          <w:sz w:val="22"/>
          <w:szCs w:val="22"/>
        </w:rPr>
        <w:t>Objetivos</w:t>
      </w:r>
    </w:p>
    <w:p w14:paraId="4A21E075" w14:textId="77777777" w:rsidR="0002778F" w:rsidRPr="00643B82" w:rsidRDefault="0002778F" w:rsidP="0002778F">
      <w:pPr>
        <w:numPr>
          <w:ilvl w:val="0"/>
          <w:numId w:val="14"/>
        </w:numPr>
        <w:jc w:val="both"/>
        <w:rPr>
          <w:rFonts w:ascii="Century Gothic" w:hAnsi="Century Gothic"/>
          <w:iCs/>
          <w:sz w:val="22"/>
          <w:szCs w:val="22"/>
          <w:lang w:val="es-MX"/>
        </w:rPr>
      </w:pPr>
      <w:r w:rsidRPr="00643B82">
        <w:rPr>
          <w:rFonts w:ascii="Century Gothic" w:hAnsi="Century Gothic"/>
          <w:sz w:val="22"/>
          <w:szCs w:val="22"/>
        </w:rPr>
        <w:t>Verificar los controles o fases establecidas en la implementación de servidores dentro de la infraestructura de JUPEMA.</w:t>
      </w:r>
    </w:p>
    <w:p w14:paraId="10ACD694" w14:textId="77777777" w:rsidR="0002778F" w:rsidRPr="00643B82" w:rsidRDefault="0002778F" w:rsidP="0002778F">
      <w:pPr>
        <w:ind w:left="360"/>
        <w:contextualSpacing/>
        <w:jc w:val="both"/>
        <w:rPr>
          <w:rFonts w:ascii="Century Gothic" w:hAnsi="Century Gothic"/>
          <w:iCs/>
          <w:sz w:val="22"/>
          <w:szCs w:val="22"/>
          <w:lang w:val="es-MX"/>
        </w:rPr>
      </w:pPr>
    </w:p>
    <w:p w14:paraId="51B098B9" w14:textId="77777777" w:rsidR="0002778F" w:rsidRPr="00643B82" w:rsidRDefault="0002778F" w:rsidP="0002778F">
      <w:pPr>
        <w:numPr>
          <w:ilvl w:val="0"/>
          <w:numId w:val="14"/>
        </w:numPr>
        <w:jc w:val="both"/>
        <w:rPr>
          <w:rFonts w:ascii="Century Gothic" w:hAnsi="Century Gothic"/>
          <w:iCs/>
          <w:sz w:val="22"/>
          <w:szCs w:val="22"/>
          <w:lang w:val="es-MX"/>
        </w:rPr>
      </w:pPr>
      <w:r w:rsidRPr="00643B82">
        <w:rPr>
          <w:rFonts w:ascii="Century Gothic" w:hAnsi="Century Gothic"/>
          <w:sz w:val="22"/>
          <w:szCs w:val="22"/>
        </w:rPr>
        <w:t>Comprobar las actividades realizadas por el Departamento de Tecnologías de Información en relación con la implementación y establecimiento de controles para la calidad del software (QA)</w:t>
      </w:r>
      <w:r w:rsidRPr="00643B82">
        <w:rPr>
          <w:rFonts w:ascii="Century Gothic" w:hAnsi="Century Gothic"/>
          <w:iCs/>
          <w:sz w:val="22"/>
          <w:szCs w:val="22"/>
        </w:rPr>
        <w:t>.</w:t>
      </w:r>
    </w:p>
    <w:p w14:paraId="7EDFCA71" w14:textId="77777777" w:rsidR="0002778F" w:rsidRPr="00643B82" w:rsidRDefault="0002778F" w:rsidP="0002778F">
      <w:pPr>
        <w:rPr>
          <w:rFonts w:ascii="Century Gothic" w:hAnsi="Century Gothic"/>
          <w:iCs/>
          <w:sz w:val="22"/>
          <w:szCs w:val="22"/>
          <w:lang w:val="es-MX"/>
        </w:rPr>
      </w:pPr>
    </w:p>
    <w:p w14:paraId="6A665E10" w14:textId="77777777" w:rsidR="0002778F" w:rsidRPr="00643B82" w:rsidRDefault="0002778F" w:rsidP="0002778F">
      <w:pPr>
        <w:numPr>
          <w:ilvl w:val="0"/>
          <w:numId w:val="14"/>
        </w:numPr>
        <w:autoSpaceDE w:val="0"/>
        <w:autoSpaceDN w:val="0"/>
        <w:adjustRightInd w:val="0"/>
        <w:jc w:val="both"/>
        <w:rPr>
          <w:rFonts w:ascii="Century Gothic" w:hAnsi="Century Gothic"/>
          <w:iCs/>
          <w:sz w:val="22"/>
          <w:szCs w:val="22"/>
          <w:lang w:val="es-MX"/>
        </w:rPr>
      </w:pPr>
      <w:r w:rsidRPr="00643B82">
        <w:rPr>
          <w:rFonts w:ascii="Century Gothic" w:hAnsi="Century Gothic"/>
          <w:sz w:val="22"/>
          <w:szCs w:val="22"/>
        </w:rPr>
        <w:t>Evaluar el cumplimiento de la normativa vigente, relacionada con el tema en revisión.</w:t>
      </w:r>
    </w:p>
    <w:p w14:paraId="74338651" w14:textId="77777777" w:rsidR="0002778F" w:rsidRDefault="0002778F" w:rsidP="0002778F">
      <w:pPr>
        <w:rPr>
          <w:sz w:val="22"/>
          <w:szCs w:val="22"/>
          <w:lang w:val="es-MX"/>
        </w:rPr>
      </w:pPr>
    </w:p>
    <w:p w14:paraId="77B4D0F3" w14:textId="77777777" w:rsidR="0002778F" w:rsidRPr="00892885" w:rsidRDefault="0002778F" w:rsidP="0002778F">
      <w:pPr>
        <w:rPr>
          <w:sz w:val="22"/>
          <w:szCs w:val="22"/>
          <w:lang w:val="es-MX"/>
        </w:rPr>
      </w:pPr>
    </w:p>
    <w:p w14:paraId="6EC10079" w14:textId="77777777" w:rsidR="0002778F" w:rsidRPr="00643B82" w:rsidRDefault="0002778F" w:rsidP="0002778F">
      <w:pPr>
        <w:numPr>
          <w:ilvl w:val="0"/>
          <w:numId w:val="13"/>
        </w:numPr>
        <w:ind w:left="284" w:hanging="284"/>
        <w:contextualSpacing/>
        <w:rPr>
          <w:rFonts w:ascii="Century Gothic" w:hAnsi="Century Gothic"/>
          <w:b/>
          <w:bCs/>
          <w:color w:val="002060"/>
          <w:sz w:val="22"/>
          <w:szCs w:val="22"/>
        </w:rPr>
      </w:pPr>
      <w:r w:rsidRPr="00C97151">
        <w:rPr>
          <w:rFonts w:ascii="Century Gothic" w:hAnsi="Century Gothic"/>
          <w:b/>
          <w:bCs/>
          <w:color w:val="002060"/>
          <w:sz w:val="22"/>
          <w:szCs w:val="22"/>
        </w:rPr>
        <w:t>R</w:t>
      </w:r>
      <w:r w:rsidRPr="00643B82">
        <w:rPr>
          <w:rFonts w:ascii="Century Gothic" w:hAnsi="Century Gothic"/>
          <w:b/>
          <w:bCs/>
          <w:color w:val="002060"/>
          <w:sz w:val="22"/>
          <w:szCs w:val="22"/>
        </w:rPr>
        <w:t>esultados Obtenidos</w:t>
      </w:r>
    </w:p>
    <w:p w14:paraId="7D3C0815" w14:textId="77777777" w:rsidR="0002778F" w:rsidRPr="00643B82" w:rsidRDefault="0002778F" w:rsidP="0002778F">
      <w:pPr>
        <w:autoSpaceDE w:val="0"/>
        <w:autoSpaceDN w:val="0"/>
        <w:adjustRightInd w:val="0"/>
        <w:jc w:val="both"/>
        <w:rPr>
          <w:rFonts w:ascii="Century Gothic" w:hAnsi="Century Gothic"/>
          <w:sz w:val="16"/>
          <w:szCs w:val="16"/>
          <w:lang w:val="es-MX"/>
        </w:rPr>
      </w:pPr>
      <w:r w:rsidRPr="00643B82">
        <w:rPr>
          <w:rFonts w:ascii="Century Gothic" w:hAnsi="Century Gothic"/>
          <w:iCs/>
          <w:sz w:val="22"/>
          <w:szCs w:val="22"/>
          <w:lang w:val="es-MX"/>
        </w:rPr>
        <w:t>De conformidad con los objetivos propuestos para esta revisión:</w:t>
      </w:r>
    </w:p>
    <w:p w14:paraId="030EFDA7" w14:textId="77777777" w:rsidR="0002778F" w:rsidRPr="00643B82" w:rsidRDefault="0002778F" w:rsidP="0002778F">
      <w:pPr>
        <w:autoSpaceDE w:val="0"/>
        <w:autoSpaceDN w:val="0"/>
        <w:adjustRightInd w:val="0"/>
        <w:jc w:val="both"/>
        <w:rPr>
          <w:rFonts w:ascii="Century Gothic" w:hAnsi="Century Gothic"/>
          <w:b/>
          <w:sz w:val="22"/>
          <w:szCs w:val="22"/>
        </w:rPr>
      </w:pPr>
    </w:p>
    <w:p w14:paraId="7125920F" w14:textId="77777777" w:rsidR="0002778F" w:rsidRPr="00643B82" w:rsidRDefault="0002778F" w:rsidP="0002778F">
      <w:pPr>
        <w:numPr>
          <w:ilvl w:val="0"/>
          <w:numId w:val="3"/>
        </w:numPr>
        <w:autoSpaceDE w:val="0"/>
        <w:autoSpaceDN w:val="0"/>
        <w:adjustRightInd w:val="0"/>
        <w:ind w:left="426"/>
        <w:contextualSpacing/>
        <w:jc w:val="both"/>
        <w:rPr>
          <w:rFonts w:ascii="Century Gothic" w:hAnsi="Century Gothic"/>
          <w:b/>
          <w:sz w:val="22"/>
          <w:szCs w:val="22"/>
        </w:rPr>
      </w:pPr>
      <w:r w:rsidRPr="00643B82">
        <w:rPr>
          <w:rFonts w:ascii="Century Gothic" w:hAnsi="Century Gothic"/>
          <w:sz w:val="22"/>
          <w:szCs w:val="22"/>
        </w:rPr>
        <w:t>Se verificaron los mecanismos establecidos por parte del Departamento de Tecnología de Información, en relación con el Marco de Gestión para el Aseguramiento de la Calidad de Software, constatando que:</w:t>
      </w:r>
    </w:p>
    <w:p w14:paraId="4961319A" w14:textId="77777777" w:rsidR="0002778F" w:rsidRPr="00643B82" w:rsidRDefault="0002778F" w:rsidP="0002778F">
      <w:pPr>
        <w:autoSpaceDE w:val="0"/>
        <w:autoSpaceDN w:val="0"/>
        <w:adjustRightInd w:val="0"/>
        <w:ind w:left="720"/>
        <w:contextualSpacing/>
        <w:jc w:val="both"/>
        <w:rPr>
          <w:rFonts w:ascii="Century Gothic" w:hAnsi="Century Gothic"/>
          <w:b/>
          <w:sz w:val="16"/>
          <w:szCs w:val="16"/>
        </w:rPr>
      </w:pPr>
    </w:p>
    <w:p w14:paraId="30B8BDEF" w14:textId="77777777" w:rsidR="0002778F" w:rsidRPr="00643B82" w:rsidRDefault="0002778F" w:rsidP="0002778F">
      <w:pPr>
        <w:numPr>
          <w:ilvl w:val="1"/>
          <w:numId w:val="3"/>
        </w:numPr>
        <w:autoSpaceDE w:val="0"/>
        <w:autoSpaceDN w:val="0"/>
        <w:adjustRightInd w:val="0"/>
        <w:ind w:left="851"/>
        <w:contextualSpacing/>
        <w:jc w:val="both"/>
        <w:rPr>
          <w:rFonts w:ascii="Century Gothic" w:hAnsi="Century Gothic"/>
          <w:b/>
          <w:sz w:val="22"/>
          <w:szCs w:val="22"/>
        </w:rPr>
      </w:pPr>
      <w:r w:rsidRPr="00643B82">
        <w:rPr>
          <w:rFonts w:ascii="Century Gothic" w:hAnsi="Century Gothic"/>
          <w:sz w:val="22"/>
          <w:szCs w:val="22"/>
        </w:rPr>
        <w:t>Existe una definición de los módulos de los sistemas de información relacionados con los procesos críticos de negocio definidos por la Dirección Ejecutiva.</w:t>
      </w:r>
    </w:p>
    <w:p w14:paraId="3A5B3D43" w14:textId="77777777" w:rsidR="0002778F" w:rsidRPr="00643B82" w:rsidRDefault="0002778F" w:rsidP="0002778F">
      <w:pPr>
        <w:ind w:left="851"/>
        <w:contextualSpacing/>
        <w:rPr>
          <w:rFonts w:ascii="Century Gothic" w:hAnsi="Century Gothic"/>
          <w:sz w:val="16"/>
          <w:szCs w:val="16"/>
        </w:rPr>
      </w:pPr>
    </w:p>
    <w:p w14:paraId="5949F919" w14:textId="77777777" w:rsidR="0002778F" w:rsidRPr="00643B82" w:rsidRDefault="0002778F" w:rsidP="0002778F">
      <w:pPr>
        <w:numPr>
          <w:ilvl w:val="1"/>
          <w:numId w:val="3"/>
        </w:numPr>
        <w:autoSpaceDE w:val="0"/>
        <w:autoSpaceDN w:val="0"/>
        <w:adjustRightInd w:val="0"/>
        <w:ind w:left="851"/>
        <w:contextualSpacing/>
        <w:jc w:val="both"/>
        <w:rPr>
          <w:rFonts w:ascii="Century Gothic" w:hAnsi="Century Gothic"/>
          <w:b/>
          <w:sz w:val="22"/>
          <w:szCs w:val="22"/>
        </w:rPr>
      </w:pPr>
      <w:r w:rsidRPr="00643B82">
        <w:rPr>
          <w:rFonts w:ascii="Century Gothic" w:hAnsi="Century Gothic"/>
          <w:sz w:val="22"/>
          <w:szCs w:val="22"/>
        </w:rPr>
        <w:t>Se tienen definidas las actividades y el tipo de documentación que debe confeccionarse para cada uno de los requerimientos que son revisados por la Analista de Calidad en Software de JUPEMA y de un proveedor de servicios profesionales.</w:t>
      </w:r>
    </w:p>
    <w:p w14:paraId="05E6120C" w14:textId="77777777" w:rsidR="0002778F" w:rsidRPr="00643B82" w:rsidRDefault="0002778F" w:rsidP="0002778F">
      <w:pPr>
        <w:ind w:left="851"/>
        <w:contextualSpacing/>
        <w:rPr>
          <w:rFonts w:ascii="Century Gothic" w:hAnsi="Century Gothic"/>
          <w:b/>
          <w:sz w:val="16"/>
          <w:szCs w:val="16"/>
        </w:rPr>
      </w:pPr>
    </w:p>
    <w:p w14:paraId="664F014B" w14:textId="77777777" w:rsidR="0002778F" w:rsidRPr="00643B82" w:rsidRDefault="0002778F" w:rsidP="0002778F">
      <w:pPr>
        <w:numPr>
          <w:ilvl w:val="1"/>
          <w:numId w:val="3"/>
        </w:numPr>
        <w:autoSpaceDE w:val="0"/>
        <w:autoSpaceDN w:val="0"/>
        <w:adjustRightInd w:val="0"/>
        <w:ind w:left="851"/>
        <w:contextualSpacing/>
        <w:jc w:val="both"/>
        <w:rPr>
          <w:rFonts w:ascii="Century Gothic" w:hAnsi="Century Gothic"/>
          <w:b/>
          <w:sz w:val="22"/>
          <w:szCs w:val="22"/>
        </w:rPr>
      </w:pPr>
      <w:r w:rsidRPr="00643B82">
        <w:rPr>
          <w:rFonts w:ascii="Century Gothic" w:hAnsi="Century Gothic"/>
          <w:sz w:val="22"/>
          <w:szCs w:val="22"/>
        </w:rPr>
        <w:t>El Departamento de Tecnologías de Información ha realizado contrataciones de un proveedor de servicios, para cumplir con la revisión de requerimientos que afectan los procesos críticos de la Institución.</w:t>
      </w:r>
    </w:p>
    <w:p w14:paraId="7FF17727" w14:textId="77777777" w:rsidR="0002778F" w:rsidRPr="00643B82" w:rsidRDefault="0002778F" w:rsidP="0002778F">
      <w:pPr>
        <w:ind w:left="720"/>
        <w:contextualSpacing/>
        <w:rPr>
          <w:rFonts w:ascii="Century Gothic" w:hAnsi="Century Gothic"/>
          <w:sz w:val="22"/>
          <w:szCs w:val="22"/>
        </w:rPr>
      </w:pPr>
    </w:p>
    <w:p w14:paraId="6D751C5C" w14:textId="77777777" w:rsidR="0002778F" w:rsidRPr="00643B82" w:rsidRDefault="0002778F" w:rsidP="0002778F">
      <w:pPr>
        <w:numPr>
          <w:ilvl w:val="0"/>
          <w:numId w:val="3"/>
        </w:numPr>
        <w:autoSpaceDE w:val="0"/>
        <w:autoSpaceDN w:val="0"/>
        <w:adjustRightInd w:val="0"/>
        <w:ind w:left="426"/>
        <w:contextualSpacing/>
        <w:jc w:val="both"/>
        <w:rPr>
          <w:rFonts w:ascii="Century Gothic" w:hAnsi="Century Gothic"/>
          <w:b/>
          <w:sz w:val="22"/>
          <w:szCs w:val="22"/>
        </w:rPr>
      </w:pPr>
      <w:r w:rsidRPr="00643B82">
        <w:rPr>
          <w:rFonts w:ascii="Century Gothic" w:hAnsi="Century Gothic"/>
          <w:sz w:val="22"/>
          <w:szCs w:val="22"/>
        </w:rPr>
        <w:t>En relación con la implementación de servidores en la infraestructura de JUPEMA, se constató que algunas actividades las realiza una empresa externa; determinándose</w:t>
      </w:r>
      <w:r w:rsidRPr="00643B82">
        <w:rPr>
          <w:rFonts w:ascii="Century Gothic" w:hAnsi="Century Gothic" w:cs="Tahoma"/>
          <w:sz w:val="22"/>
          <w:szCs w:val="22"/>
        </w:rPr>
        <w:t xml:space="preserve"> oportunidades de mejora en cuanto a la administración y control sobre los recursos contratados. </w:t>
      </w:r>
    </w:p>
    <w:p w14:paraId="40CDE5BD" w14:textId="77777777" w:rsidR="0002778F" w:rsidRPr="00643B82" w:rsidRDefault="0002778F" w:rsidP="0002778F">
      <w:pPr>
        <w:autoSpaceDE w:val="0"/>
        <w:autoSpaceDN w:val="0"/>
        <w:adjustRightInd w:val="0"/>
        <w:ind w:left="1440"/>
        <w:contextualSpacing/>
        <w:jc w:val="both"/>
        <w:rPr>
          <w:rFonts w:ascii="Century Gothic" w:hAnsi="Century Gothic"/>
          <w:b/>
          <w:sz w:val="22"/>
          <w:szCs w:val="22"/>
          <w:highlight w:val="magenta"/>
        </w:rPr>
      </w:pPr>
    </w:p>
    <w:p w14:paraId="35F3684A" w14:textId="77777777" w:rsidR="0002778F" w:rsidRPr="00643B82" w:rsidRDefault="0002778F" w:rsidP="0002778F">
      <w:pPr>
        <w:numPr>
          <w:ilvl w:val="0"/>
          <w:numId w:val="3"/>
        </w:numPr>
        <w:autoSpaceDE w:val="0"/>
        <w:autoSpaceDN w:val="0"/>
        <w:adjustRightInd w:val="0"/>
        <w:ind w:left="426"/>
        <w:contextualSpacing/>
        <w:jc w:val="both"/>
        <w:rPr>
          <w:rFonts w:ascii="Century Gothic" w:hAnsi="Century Gothic"/>
          <w:b/>
          <w:sz w:val="22"/>
          <w:szCs w:val="22"/>
        </w:rPr>
      </w:pPr>
      <w:r w:rsidRPr="00643B82">
        <w:rPr>
          <w:rFonts w:ascii="Century Gothic" w:hAnsi="Century Gothic"/>
          <w:sz w:val="22"/>
          <w:szCs w:val="22"/>
        </w:rPr>
        <w:lastRenderedPageBreak/>
        <w:t>Se verificó el cumplimiento normativo; sin embargo, se identificaron oportunidades de mejora que fueron comunicadas oportunamente a la Administración.</w:t>
      </w:r>
      <w:r w:rsidRPr="00643B82">
        <w:rPr>
          <w:rFonts w:ascii="Century Gothic" w:hAnsi="Century Gothic"/>
          <w:b/>
          <w:sz w:val="22"/>
          <w:szCs w:val="22"/>
        </w:rPr>
        <w:t xml:space="preserve"> </w:t>
      </w:r>
    </w:p>
    <w:p w14:paraId="55F4B68C" w14:textId="77777777" w:rsidR="0002778F" w:rsidRPr="00643B82" w:rsidRDefault="0002778F" w:rsidP="0002778F">
      <w:pPr>
        <w:autoSpaceDE w:val="0"/>
        <w:autoSpaceDN w:val="0"/>
        <w:adjustRightInd w:val="0"/>
        <w:jc w:val="both"/>
        <w:rPr>
          <w:rFonts w:ascii="Century Gothic" w:hAnsi="Century Gothic"/>
          <w:b/>
          <w:sz w:val="22"/>
          <w:szCs w:val="22"/>
        </w:rPr>
      </w:pPr>
    </w:p>
    <w:p w14:paraId="280C06A2" w14:textId="77777777" w:rsidR="0002778F" w:rsidRDefault="0002778F" w:rsidP="0002778F">
      <w:pPr>
        <w:jc w:val="both"/>
        <w:rPr>
          <w:rFonts w:ascii="Century Gothic" w:hAnsi="Century Gothic"/>
          <w:sz w:val="22"/>
          <w:szCs w:val="22"/>
        </w:rPr>
      </w:pPr>
      <w:r w:rsidRPr="00643B82">
        <w:rPr>
          <w:rFonts w:ascii="Century Gothic" w:hAnsi="Century Gothic"/>
          <w:sz w:val="22"/>
          <w:szCs w:val="22"/>
        </w:rPr>
        <w:t>Esta revisión fue aprobada en la Sesión Ordinaria No. 10</w:t>
      </w:r>
      <w:r>
        <w:rPr>
          <w:rFonts w:ascii="Century Gothic" w:hAnsi="Century Gothic"/>
          <w:sz w:val="22"/>
          <w:szCs w:val="22"/>
        </w:rPr>
        <w:t>2</w:t>
      </w:r>
      <w:r w:rsidRPr="00643B82">
        <w:rPr>
          <w:rFonts w:ascii="Century Gothic" w:hAnsi="Century Gothic"/>
          <w:sz w:val="22"/>
          <w:szCs w:val="22"/>
        </w:rPr>
        <w:t>-2020 del 16 de setiembre de 2020.</w:t>
      </w:r>
    </w:p>
    <w:p w14:paraId="70672C4C" w14:textId="10DBA5F1" w:rsidR="0002778F" w:rsidRDefault="0002778F" w:rsidP="0002778F"/>
    <w:sectPr w:rsidR="0002778F" w:rsidSect="009B17C1">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47B2"/>
    <w:multiLevelType w:val="hybridMultilevel"/>
    <w:tmpl w:val="5BD20C2A"/>
    <w:lvl w:ilvl="0" w:tplc="140A0001">
      <w:start w:val="1"/>
      <w:numFmt w:val="bullet"/>
      <w:lvlText w:val=""/>
      <w:lvlJc w:val="left"/>
      <w:pPr>
        <w:ind w:left="720" w:hanging="360"/>
      </w:pPr>
      <w:rPr>
        <w:rFonts w:ascii="Symbol" w:hAnsi="Symbol" w:hint="default"/>
      </w:rPr>
    </w:lvl>
    <w:lvl w:ilvl="1" w:tplc="140A000B">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D174C60"/>
    <w:multiLevelType w:val="hybridMultilevel"/>
    <w:tmpl w:val="0C6263BE"/>
    <w:lvl w:ilvl="0" w:tplc="E1FC14FC">
      <w:start w:val="1"/>
      <w:numFmt w:val="bullet"/>
      <w:lvlText w:val=""/>
      <w:lvlJc w:val="left"/>
      <w:pPr>
        <w:ind w:left="360" w:hanging="360"/>
      </w:pPr>
      <w:rPr>
        <w:rFonts w:ascii="Wingdings" w:hAnsi="Wingdings" w:hint="default"/>
        <w:b w:val="0"/>
        <w:i w:val="0"/>
        <w:color w:val="auto"/>
        <w:sz w:val="22"/>
        <w:szCs w:val="22"/>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2" w15:restartNumberingAfterBreak="0">
    <w:nsid w:val="159528BF"/>
    <w:multiLevelType w:val="hybridMultilevel"/>
    <w:tmpl w:val="B4141BB8"/>
    <w:lvl w:ilvl="0" w:tplc="A91AF16E">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1C726D78"/>
    <w:multiLevelType w:val="hybridMultilevel"/>
    <w:tmpl w:val="0088DEDE"/>
    <w:lvl w:ilvl="0" w:tplc="140A000B">
      <w:start w:val="1"/>
      <w:numFmt w:val="bullet"/>
      <w:lvlText w:val=""/>
      <w:lvlJc w:val="left"/>
      <w:pPr>
        <w:ind w:left="1146" w:hanging="360"/>
      </w:pPr>
      <w:rPr>
        <w:rFonts w:ascii="Wingdings" w:hAnsi="Wingdings"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4" w15:restartNumberingAfterBreak="0">
    <w:nsid w:val="1CC26E4C"/>
    <w:multiLevelType w:val="multilevel"/>
    <w:tmpl w:val="C2C80DFA"/>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D426C55"/>
    <w:multiLevelType w:val="hybridMultilevel"/>
    <w:tmpl w:val="8026DAC4"/>
    <w:lvl w:ilvl="0" w:tplc="140A000D">
      <w:start w:val="1"/>
      <w:numFmt w:val="bullet"/>
      <w:lvlText w:val=""/>
      <w:lvlJc w:val="left"/>
      <w:pPr>
        <w:ind w:left="720" w:hanging="360"/>
      </w:pPr>
      <w:rPr>
        <w:rFonts w:ascii="Wingdings" w:hAnsi="Wingdings" w:hint="default"/>
      </w:rPr>
    </w:lvl>
    <w:lvl w:ilvl="1" w:tplc="140A0001">
      <w:start w:val="1"/>
      <w:numFmt w:val="bullet"/>
      <w:lvlText w:val=""/>
      <w:lvlJc w:val="left"/>
      <w:pPr>
        <w:ind w:left="1440" w:hanging="360"/>
      </w:pPr>
      <w:rPr>
        <w:rFonts w:ascii="Symbol" w:hAnsi="Symbol"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69D6008"/>
    <w:multiLevelType w:val="hybridMultilevel"/>
    <w:tmpl w:val="B4A0F51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2A3287B"/>
    <w:multiLevelType w:val="hybridMultilevel"/>
    <w:tmpl w:val="88268484"/>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8" w15:restartNumberingAfterBreak="0">
    <w:nsid w:val="45E35105"/>
    <w:multiLevelType w:val="hybridMultilevel"/>
    <w:tmpl w:val="E80220C0"/>
    <w:lvl w:ilvl="0" w:tplc="140A001B">
      <w:start w:val="1"/>
      <w:numFmt w:val="lowerRoman"/>
      <w:lvlText w:val="%1."/>
      <w:lvlJc w:val="righ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9" w15:restartNumberingAfterBreak="0">
    <w:nsid w:val="4F360157"/>
    <w:multiLevelType w:val="multilevel"/>
    <w:tmpl w:val="C2C80DFA"/>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1F55D1E"/>
    <w:multiLevelType w:val="hybridMultilevel"/>
    <w:tmpl w:val="44083DC4"/>
    <w:lvl w:ilvl="0" w:tplc="7A20A152">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5C22C41"/>
    <w:multiLevelType w:val="hybridMultilevel"/>
    <w:tmpl w:val="B4141BB8"/>
    <w:lvl w:ilvl="0" w:tplc="A91AF16E">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58A33265"/>
    <w:multiLevelType w:val="hybridMultilevel"/>
    <w:tmpl w:val="0E46D9F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59991B3D"/>
    <w:multiLevelType w:val="hybridMultilevel"/>
    <w:tmpl w:val="36D639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205DB"/>
    <w:multiLevelType w:val="hybridMultilevel"/>
    <w:tmpl w:val="2F24D5D8"/>
    <w:lvl w:ilvl="0" w:tplc="140A000D">
      <w:start w:val="1"/>
      <w:numFmt w:val="bullet"/>
      <w:lvlText w:val=""/>
      <w:lvlJc w:val="left"/>
      <w:pPr>
        <w:ind w:left="786" w:hanging="360"/>
      </w:pPr>
      <w:rPr>
        <w:rFonts w:ascii="Wingdings" w:hAnsi="Wingdings" w:hint="default"/>
      </w:rPr>
    </w:lvl>
    <w:lvl w:ilvl="1" w:tplc="140A0003">
      <w:start w:val="1"/>
      <w:numFmt w:val="bullet"/>
      <w:lvlText w:val="o"/>
      <w:lvlJc w:val="left"/>
      <w:pPr>
        <w:ind w:left="1506" w:hanging="360"/>
      </w:pPr>
      <w:rPr>
        <w:rFonts w:ascii="Courier New" w:hAnsi="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hint="default"/>
      </w:rPr>
    </w:lvl>
    <w:lvl w:ilvl="8" w:tplc="140A0005" w:tentative="1">
      <w:start w:val="1"/>
      <w:numFmt w:val="bullet"/>
      <w:lvlText w:val=""/>
      <w:lvlJc w:val="left"/>
      <w:pPr>
        <w:ind w:left="6546" w:hanging="360"/>
      </w:pPr>
      <w:rPr>
        <w:rFonts w:ascii="Wingdings" w:hAnsi="Wingdings" w:hint="default"/>
      </w:rPr>
    </w:lvl>
  </w:abstractNum>
  <w:abstractNum w:abstractNumId="15" w15:restartNumberingAfterBreak="0">
    <w:nsid w:val="5FE47B8E"/>
    <w:multiLevelType w:val="multilevel"/>
    <w:tmpl w:val="28AA85DC"/>
    <w:lvl w:ilvl="0">
      <w:start w:val="1"/>
      <w:numFmt w:val="upperRoman"/>
      <w:lvlText w:val="%1."/>
      <w:lvlJc w:val="left"/>
      <w:pPr>
        <w:ind w:left="1080" w:hanging="720"/>
      </w:pPr>
      <w:rPr>
        <w:rFonts w:hint="default"/>
        <w:color w:val="1F3864" w:themeColor="accent1" w:themeShade="8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6B68FD"/>
    <w:multiLevelType w:val="multilevel"/>
    <w:tmpl w:val="62142DF4"/>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b/>
        <w:b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B531E1A"/>
    <w:multiLevelType w:val="hybridMultilevel"/>
    <w:tmpl w:val="EE969C3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F1F4806"/>
    <w:multiLevelType w:val="hybridMultilevel"/>
    <w:tmpl w:val="B28EA02E"/>
    <w:lvl w:ilvl="0" w:tplc="9F66A7C0">
      <w:start w:val="1"/>
      <w:numFmt w:val="decimal"/>
      <w:lvlText w:val="%1."/>
      <w:lvlJc w:val="left"/>
      <w:pPr>
        <w:ind w:left="720" w:hanging="360"/>
      </w:pPr>
      <w:rPr>
        <w:rFonts w:ascii="Century Gothic" w:hAnsi="Century Gothic"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6"/>
  </w:num>
  <w:num w:numId="5">
    <w:abstractNumId w:val="1"/>
  </w:num>
  <w:num w:numId="6">
    <w:abstractNumId w:val="17"/>
  </w:num>
  <w:num w:numId="7">
    <w:abstractNumId w:val="14"/>
  </w:num>
  <w:num w:numId="8">
    <w:abstractNumId w:val="13"/>
  </w:num>
  <w:num w:numId="9">
    <w:abstractNumId w:val="12"/>
  </w:num>
  <w:num w:numId="10">
    <w:abstractNumId w:val="8"/>
  </w:num>
  <w:num w:numId="11">
    <w:abstractNumId w:val="0"/>
  </w:num>
  <w:num w:numId="12">
    <w:abstractNumId w:val="7"/>
  </w:num>
  <w:num w:numId="13">
    <w:abstractNumId w:val="9"/>
  </w:num>
  <w:num w:numId="14">
    <w:abstractNumId w:val="2"/>
  </w:num>
  <w:num w:numId="15">
    <w:abstractNumId w:val="15"/>
  </w:num>
  <w:num w:numId="16">
    <w:abstractNumId w:val="18"/>
  </w:num>
  <w:num w:numId="17">
    <w:abstractNumId w:val="6"/>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CB9"/>
    <w:rsid w:val="0002778F"/>
    <w:rsid w:val="004028F1"/>
    <w:rsid w:val="00492323"/>
    <w:rsid w:val="005704BE"/>
    <w:rsid w:val="00643B82"/>
    <w:rsid w:val="006578A6"/>
    <w:rsid w:val="007A4348"/>
    <w:rsid w:val="00892885"/>
    <w:rsid w:val="008A2E87"/>
    <w:rsid w:val="008D6CB9"/>
    <w:rsid w:val="00953DC0"/>
    <w:rsid w:val="0096354A"/>
    <w:rsid w:val="009B17C1"/>
    <w:rsid w:val="00C97151"/>
    <w:rsid w:val="00DC1017"/>
    <w:rsid w:val="00ED0DE1"/>
    <w:rsid w:val="00F5451A"/>
    <w:rsid w:val="00FE38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B081"/>
  <w15:chartTrackingRefBased/>
  <w15:docId w15:val="{A2B0521C-54E4-4973-84A5-8F505D1A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CB9"/>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8D6CB9"/>
    <w:pPr>
      <w:keepNext/>
      <w:jc w:val="center"/>
      <w:outlineLvl w:val="3"/>
    </w:pPr>
    <w:rPr>
      <w:rFonts w:ascii="Century Gothic" w:hAnsi="Century Gothic" w:cs="Courier New"/>
      <w:b/>
      <w:bCs/>
      <w:color w:val="FF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D6CB9"/>
    <w:rPr>
      <w:rFonts w:ascii="Century Gothic" w:eastAsia="Times New Roman" w:hAnsi="Century Gothic" w:cs="Courier New"/>
      <w:b/>
      <w:bCs/>
      <w:color w:val="FF0000"/>
      <w:sz w:val="20"/>
      <w:szCs w:val="24"/>
      <w:lang w:val="es-ES" w:eastAsia="es-ES"/>
    </w:rPr>
  </w:style>
  <w:style w:type="paragraph" w:styleId="Prrafodelista">
    <w:name w:val="List Paragraph"/>
    <w:aliases w:val="Informe"/>
    <w:basedOn w:val="Normal"/>
    <w:link w:val="PrrafodelistaCar"/>
    <w:uiPriority w:val="34"/>
    <w:qFormat/>
    <w:rsid w:val="008D6CB9"/>
    <w:pPr>
      <w:ind w:left="720"/>
      <w:contextualSpacing/>
    </w:pPr>
  </w:style>
  <w:style w:type="character" w:customStyle="1" w:styleId="PrrafodelistaCar">
    <w:name w:val="Párrafo de lista Car"/>
    <w:aliases w:val="Informe Car"/>
    <w:link w:val="Prrafodelista"/>
    <w:uiPriority w:val="34"/>
    <w:locked/>
    <w:rsid w:val="008D6CB9"/>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nhideWhenUsed/>
    <w:rsid w:val="008D6CB9"/>
    <w:pPr>
      <w:spacing w:after="120"/>
    </w:pPr>
    <w:rPr>
      <w:sz w:val="16"/>
      <w:szCs w:val="16"/>
    </w:rPr>
  </w:style>
  <w:style w:type="character" w:customStyle="1" w:styleId="Textoindependiente3Car">
    <w:name w:val="Texto independiente 3 Car"/>
    <w:basedOn w:val="Fuentedeprrafopredeter"/>
    <w:link w:val="Textoindependiente3"/>
    <w:rsid w:val="008D6CB9"/>
    <w:rPr>
      <w:rFonts w:ascii="Times New Roman" w:eastAsia="Times New Roman" w:hAnsi="Times New Roman" w:cs="Times New Roman"/>
      <w:sz w:val="16"/>
      <w:szCs w:val="16"/>
      <w:lang w:val="es-ES" w:eastAsia="es-ES"/>
    </w:rPr>
  </w:style>
  <w:style w:type="paragraph" w:styleId="Lista">
    <w:name w:val="List"/>
    <w:basedOn w:val="Normal"/>
    <w:uiPriority w:val="99"/>
    <w:unhideWhenUsed/>
    <w:rsid w:val="008D6CB9"/>
    <w:pPr>
      <w:ind w:left="283" w:hanging="283"/>
      <w:contextualSpacing/>
    </w:pPr>
  </w:style>
  <w:style w:type="paragraph" w:customStyle="1" w:styleId="BodyText21">
    <w:name w:val="Body Text 21"/>
    <w:basedOn w:val="Normal"/>
    <w:rsid w:val="008D6CB9"/>
    <w:pPr>
      <w:jc w:val="both"/>
    </w:pPr>
    <w:rPr>
      <w:rFonts w:ascii="Garamond" w:hAnsi="Garamond"/>
      <w:szCs w:val="20"/>
      <w:lang w:val="es-ES_tradnl"/>
    </w:rPr>
  </w:style>
  <w:style w:type="paragraph" w:styleId="Textoindependiente2">
    <w:name w:val="Body Text 2"/>
    <w:basedOn w:val="Normal"/>
    <w:link w:val="Textoindependiente2Car"/>
    <w:uiPriority w:val="99"/>
    <w:unhideWhenUsed/>
    <w:rsid w:val="008D6CB9"/>
    <w:pPr>
      <w:spacing w:after="120" w:line="480" w:lineRule="auto"/>
    </w:pPr>
  </w:style>
  <w:style w:type="character" w:customStyle="1" w:styleId="Textoindependiente2Car">
    <w:name w:val="Texto independiente 2 Car"/>
    <w:basedOn w:val="Fuentedeprrafopredeter"/>
    <w:link w:val="Textoindependiente2"/>
    <w:uiPriority w:val="99"/>
    <w:rsid w:val="008D6CB9"/>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8D6CB9"/>
    <w:pPr>
      <w:spacing w:after="120"/>
    </w:pPr>
  </w:style>
  <w:style w:type="character" w:customStyle="1" w:styleId="TextoindependienteCar">
    <w:name w:val="Texto independiente Car"/>
    <w:basedOn w:val="Fuentedeprrafopredeter"/>
    <w:link w:val="Textoindependiente"/>
    <w:uiPriority w:val="99"/>
    <w:semiHidden/>
    <w:rsid w:val="008D6CB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file>