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DFBE8" w14:textId="77777777" w:rsidR="007A4348" w:rsidRPr="00C97151" w:rsidRDefault="007A4348" w:rsidP="007A4348">
      <w:pPr>
        <w:pStyle w:val="Ttulo4"/>
        <w:rPr>
          <w:color w:val="002060"/>
          <w:sz w:val="22"/>
          <w:szCs w:val="22"/>
        </w:rPr>
      </w:pPr>
      <w:r w:rsidRPr="00C97151">
        <w:rPr>
          <w:color w:val="002060"/>
          <w:sz w:val="22"/>
          <w:szCs w:val="22"/>
        </w:rPr>
        <w:t xml:space="preserve">Estudio No. 17-2020 </w:t>
      </w:r>
    </w:p>
    <w:p w14:paraId="48D5EFF6" w14:textId="77777777" w:rsidR="007A4348" w:rsidRPr="00C97151" w:rsidRDefault="007A4348" w:rsidP="007A4348">
      <w:pPr>
        <w:pStyle w:val="Ttulo4"/>
        <w:rPr>
          <w:color w:val="002060"/>
          <w:sz w:val="22"/>
          <w:szCs w:val="22"/>
        </w:rPr>
      </w:pPr>
      <w:r w:rsidRPr="00C97151">
        <w:rPr>
          <w:color w:val="002060"/>
          <w:sz w:val="22"/>
          <w:szCs w:val="22"/>
        </w:rPr>
        <w:t>Revisión funcionamiento del sistema de crédito</w:t>
      </w:r>
    </w:p>
    <w:p w14:paraId="526393CC" w14:textId="77777777" w:rsidR="007A4348" w:rsidRPr="00C97151" w:rsidRDefault="007A4348" w:rsidP="007A4348">
      <w:pPr>
        <w:rPr>
          <w:color w:val="002060"/>
        </w:rPr>
      </w:pPr>
    </w:p>
    <w:p w14:paraId="5129D45F" w14:textId="77777777" w:rsidR="007A4348" w:rsidRPr="00C97151" w:rsidRDefault="007A4348" w:rsidP="007A4348">
      <w:pPr>
        <w:pStyle w:val="BodyText21"/>
        <w:numPr>
          <w:ilvl w:val="12"/>
          <w:numId w:val="0"/>
        </w:numPr>
        <w:rPr>
          <w:rFonts w:ascii="Century Gothic" w:hAnsi="Century Gothic"/>
          <w:b/>
          <w:bCs/>
          <w:color w:val="002060"/>
          <w:sz w:val="22"/>
          <w:szCs w:val="22"/>
          <w:lang w:val="es-ES"/>
        </w:rPr>
      </w:pPr>
      <w:r w:rsidRPr="00C97151">
        <w:rPr>
          <w:rFonts w:ascii="Century Gothic" w:hAnsi="Century Gothic"/>
          <w:b/>
          <w:bCs/>
          <w:color w:val="002060"/>
          <w:sz w:val="22"/>
          <w:szCs w:val="22"/>
          <w:lang w:val="es-ES"/>
        </w:rPr>
        <w:t>I. Alcance</w:t>
      </w:r>
    </w:p>
    <w:p w14:paraId="4CC5237E" w14:textId="77777777" w:rsidR="007A4348" w:rsidRDefault="007A4348" w:rsidP="007A4348">
      <w:pPr>
        <w:pStyle w:val="Textoindependiente3"/>
        <w:spacing w:after="0"/>
        <w:jc w:val="both"/>
        <w:outlineLvl w:val="0"/>
        <w:rPr>
          <w:rFonts w:ascii="Century Gothic" w:hAnsi="Century Gothic"/>
          <w:iCs/>
          <w:sz w:val="22"/>
          <w:szCs w:val="22"/>
          <w:lang w:val="es-MX"/>
        </w:rPr>
      </w:pPr>
      <w:r w:rsidRPr="00C97151">
        <w:rPr>
          <w:rFonts w:ascii="Century Gothic" w:hAnsi="Century Gothic"/>
          <w:color w:val="002060"/>
          <w:sz w:val="22"/>
          <w:szCs w:val="22"/>
        </w:rPr>
        <w:t xml:space="preserve">Evaluar la eficacia operativa </w:t>
      </w:r>
      <w:r w:rsidRPr="00634E41">
        <w:rPr>
          <w:rFonts w:ascii="Century Gothic" w:hAnsi="Century Gothic"/>
          <w:sz w:val="22"/>
          <w:szCs w:val="22"/>
        </w:rPr>
        <w:t>de los controles de aplicación de acceso, interfaz y configuración del Sistema de Crédito de JUPEMA.</w:t>
      </w:r>
    </w:p>
    <w:p w14:paraId="41EF7097" w14:textId="77777777" w:rsidR="007A4348" w:rsidRPr="00CC790C" w:rsidRDefault="007A4348" w:rsidP="007A4348">
      <w:pPr>
        <w:pStyle w:val="Textoindependiente3"/>
        <w:spacing w:after="0"/>
        <w:jc w:val="both"/>
        <w:outlineLvl w:val="0"/>
        <w:rPr>
          <w:rFonts w:ascii="Century Gothic" w:hAnsi="Century Gothic"/>
          <w:iCs/>
          <w:sz w:val="22"/>
          <w:szCs w:val="22"/>
          <w:lang w:val="es-MX"/>
        </w:rPr>
      </w:pPr>
    </w:p>
    <w:p w14:paraId="19BF2634" w14:textId="77777777" w:rsidR="007A4348" w:rsidRPr="00C97151" w:rsidRDefault="007A4348" w:rsidP="007A4348">
      <w:pPr>
        <w:pStyle w:val="BodyText21"/>
        <w:numPr>
          <w:ilvl w:val="12"/>
          <w:numId w:val="0"/>
        </w:numPr>
        <w:rPr>
          <w:rFonts w:ascii="Century Gothic" w:hAnsi="Century Gothic"/>
          <w:b/>
          <w:bCs/>
          <w:color w:val="002060"/>
          <w:sz w:val="22"/>
          <w:szCs w:val="22"/>
          <w:lang w:val="es-ES"/>
        </w:rPr>
      </w:pPr>
      <w:r w:rsidRPr="00C97151">
        <w:rPr>
          <w:rFonts w:ascii="Century Gothic" w:hAnsi="Century Gothic"/>
          <w:b/>
          <w:bCs/>
          <w:color w:val="002060"/>
          <w:sz w:val="22"/>
          <w:szCs w:val="22"/>
          <w:lang w:val="es-ES"/>
        </w:rPr>
        <w:t>II.   Objetivos</w:t>
      </w:r>
    </w:p>
    <w:p w14:paraId="55294818" w14:textId="77777777" w:rsidR="007A4348" w:rsidRDefault="007A4348" w:rsidP="007A4348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634E41">
        <w:rPr>
          <w:rFonts w:ascii="Century Gothic" w:hAnsi="Century Gothic"/>
          <w:sz w:val="22"/>
          <w:szCs w:val="22"/>
        </w:rPr>
        <w:t>Verificar la implementación de controles de validación de datos del sistema de Crédito</w:t>
      </w:r>
      <w:r>
        <w:rPr>
          <w:rFonts w:ascii="Century Gothic" w:hAnsi="Century Gothic"/>
          <w:sz w:val="22"/>
          <w:szCs w:val="22"/>
        </w:rPr>
        <w:t>.</w:t>
      </w:r>
    </w:p>
    <w:p w14:paraId="2BBFAB32" w14:textId="77777777" w:rsidR="007A4348" w:rsidRPr="00A51679" w:rsidRDefault="007A4348" w:rsidP="007A4348">
      <w:pPr>
        <w:pStyle w:val="Prrafodelista"/>
        <w:ind w:left="360"/>
        <w:jc w:val="both"/>
        <w:rPr>
          <w:rFonts w:ascii="Century Gothic" w:hAnsi="Century Gothic"/>
          <w:sz w:val="16"/>
          <w:szCs w:val="16"/>
        </w:rPr>
      </w:pPr>
    </w:p>
    <w:p w14:paraId="731754E8" w14:textId="77777777" w:rsidR="007A4348" w:rsidRDefault="007A4348" w:rsidP="007A4348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634E41">
        <w:rPr>
          <w:rFonts w:ascii="Century Gothic" w:hAnsi="Century Gothic"/>
          <w:sz w:val="22"/>
          <w:szCs w:val="22"/>
        </w:rPr>
        <w:t>Evaluar los controles de aplicación de acceso, configuración e interfaz del Sistema de Crédito.</w:t>
      </w:r>
    </w:p>
    <w:p w14:paraId="61214DE0" w14:textId="77777777" w:rsidR="007A4348" w:rsidRPr="00A51679" w:rsidRDefault="007A4348" w:rsidP="007A4348">
      <w:pPr>
        <w:pStyle w:val="Prrafodelista"/>
        <w:ind w:left="360"/>
        <w:jc w:val="both"/>
        <w:rPr>
          <w:rFonts w:ascii="Century Gothic" w:hAnsi="Century Gothic"/>
          <w:sz w:val="16"/>
          <w:szCs w:val="16"/>
        </w:rPr>
      </w:pPr>
    </w:p>
    <w:p w14:paraId="55B5857B" w14:textId="77777777" w:rsidR="007A4348" w:rsidRPr="00634E41" w:rsidRDefault="007A4348" w:rsidP="007A4348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634E41">
        <w:rPr>
          <w:rFonts w:ascii="Century Gothic" w:hAnsi="Century Gothic"/>
          <w:sz w:val="22"/>
          <w:szCs w:val="22"/>
        </w:rPr>
        <w:t>Validar el cumplimiento de la normativa vigente, relacionada con el tema en revisión.</w:t>
      </w:r>
    </w:p>
    <w:p w14:paraId="2FCEAA3C" w14:textId="77777777" w:rsidR="007A4348" w:rsidRPr="008D6CB9" w:rsidRDefault="007A4348" w:rsidP="007A4348"/>
    <w:p w14:paraId="26657E84" w14:textId="77777777" w:rsidR="007A4348" w:rsidRPr="00C97151" w:rsidRDefault="007A4348" w:rsidP="007A4348">
      <w:pPr>
        <w:pStyle w:val="Textoindependiente2"/>
        <w:tabs>
          <w:tab w:val="left" w:pos="426"/>
        </w:tabs>
        <w:spacing w:after="0" w:line="240" w:lineRule="auto"/>
        <w:jc w:val="both"/>
        <w:rPr>
          <w:rFonts w:ascii="Century Gothic" w:hAnsi="Century Gothic"/>
          <w:b/>
          <w:bCs/>
          <w:caps/>
          <w:color w:val="002060"/>
          <w:sz w:val="22"/>
          <w:szCs w:val="22"/>
        </w:rPr>
      </w:pPr>
      <w:r w:rsidRPr="00C97151">
        <w:rPr>
          <w:rFonts w:ascii="Century Gothic" w:hAnsi="Century Gothic"/>
          <w:b/>
          <w:bCs/>
          <w:caps/>
          <w:color w:val="002060"/>
          <w:sz w:val="22"/>
          <w:szCs w:val="22"/>
        </w:rPr>
        <w:t>III. r</w:t>
      </w:r>
      <w:r w:rsidRPr="00C97151">
        <w:rPr>
          <w:rFonts w:ascii="Century Gothic" w:hAnsi="Century Gothic"/>
          <w:b/>
          <w:bCs/>
          <w:color w:val="002060"/>
          <w:sz w:val="22"/>
          <w:szCs w:val="22"/>
        </w:rPr>
        <w:t>esultados Obtenidos</w:t>
      </w:r>
    </w:p>
    <w:p w14:paraId="1EB342B4" w14:textId="77777777" w:rsidR="007A4348" w:rsidRPr="00FF19BF" w:rsidRDefault="007A4348" w:rsidP="007A4348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es-MX"/>
        </w:rPr>
      </w:pPr>
      <w:r w:rsidRPr="00FF19BF">
        <w:rPr>
          <w:rFonts w:ascii="Century Gothic" w:hAnsi="Century Gothic"/>
          <w:iCs/>
          <w:sz w:val="22"/>
          <w:szCs w:val="22"/>
          <w:lang w:val="es-MX"/>
        </w:rPr>
        <w:t>De conformidad con los objetivos propuestos para esta revisión, se emiten las siguientes conclusiones:</w:t>
      </w:r>
    </w:p>
    <w:p w14:paraId="5E12C86F" w14:textId="77777777" w:rsidR="007A4348" w:rsidRPr="00FF19BF" w:rsidRDefault="007A4348" w:rsidP="007A4348">
      <w:pPr>
        <w:pStyle w:val="Prrafodelista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14:paraId="11A02A63" w14:textId="77777777" w:rsidR="007A4348" w:rsidRPr="00FF19BF" w:rsidRDefault="007A4348" w:rsidP="007A4348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ascii="Century Gothic" w:hAnsi="Century Gothic"/>
          <w:sz w:val="22"/>
          <w:szCs w:val="22"/>
        </w:rPr>
      </w:pPr>
      <w:r w:rsidRPr="00FF19BF">
        <w:rPr>
          <w:rFonts w:ascii="Century Gothic" w:hAnsi="Century Gothic"/>
          <w:sz w:val="22"/>
          <w:szCs w:val="22"/>
        </w:rPr>
        <w:t xml:space="preserve">Como parte de la revisión de los controles de validaciones de entrada de datos del Sistema de Crédito, se logró observar que el Departamento de </w:t>
      </w:r>
      <w:r>
        <w:rPr>
          <w:rFonts w:ascii="Century Gothic" w:hAnsi="Century Gothic"/>
          <w:sz w:val="22"/>
          <w:szCs w:val="22"/>
        </w:rPr>
        <w:t>TI</w:t>
      </w:r>
      <w:r w:rsidRPr="00FF19BF">
        <w:rPr>
          <w:rFonts w:ascii="Century Gothic" w:hAnsi="Century Gothic"/>
          <w:sz w:val="22"/>
          <w:szCs w:val="22"/>
        </w:rPr>
        <w:t xml:space="preserve"> ha implementado controles automáticos apropiados</w:t>
      </w:r>
      <w:r>
        <w:rPr>
          <w:rFonts w:ascii="Century Gothic" w:hAnsi="Century Gothic"/>
          <w:sz w:val="22"/>
          <w:szCs w:val="22"/>
        </w:rPr>
        <w:t>,</w:t>
      </w:r>
      <w:r w:rsidRPr="00FF19BF">
        <w:rPr>
          <w:rFonts w:ascii="Century Gothic" w:hAnsi="Century Gothic"/>
          <w:sz w:val="22"/>
          <w:szCs w:val="22"/>
        </w:rPr>
        <w:t xml:space="preserve"> para el registro de los valores que el personal del Departamento de Crédito y Cobro utiliza.</w:t>
      </w:r>
    </w:p>
    <w:p w14:paraId="4886C632" w14:textId="77777777" w:rsidR="007A4348" w:rsidRPr="00FF19BF" w:rsidRDefault="007A4348" w:rsidP="007A4348">
      <w:pPr>
        <w:autoSpaceDE w:val="0"/>
        <w:autoSpaceDN w:val="0"/>
        <w:adjustRightInd w:val="0"/>
        <w:ind w:left="426"/>
        <w:jc w:val="both"/>
        <w:rPr>
          <w:rFonts w:ascii="Century Gothic" w:hAnsi="Century Gothic"/>
          <w:sz w:val="22"/>
          <w:szCs w:val="22"/>
        </w:rPr>
      </w:pPr>
    </w:p>
    <w:p w14:paraId="756E48C6" w14:textId="77777777" w:rsidR="007A4348" w:rsidRDefault="007A4348" w:rsidP="007A4348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ascii="Century Gothic" w:hAnsi="Century Gothic"/>
          <w:sz w:val="22"/>
          <w:szCs w:val="22"/>
        </w:rPr>
      </w:pPr>
      <w:r w:rsidRPr="00FF19BF">
        <w:rPr>
          <w:rFonts w:ascii="Century Gothic" w:hAnsi="Century Gothic"/>
          <w:sz w:val="22"/>
          <w:szCs w:val="22"/>
        </w:rPr>
        <w:t>Sobre los controles de acceso, configuración e interfaz del Sistema de Crédito, de las pruebas realizadas al aplicativo, se identificaron algunas debilidades y oportunidades de mejora en cuanto al diseño e implementación de las funcionalidades, entre ellas:</w:t>
      </w:r>
    </w:p>
    <w:p w14:paraId="22EAC141" w14:textId="77777777" w:rsidR="007A4348" w:rsidRPr="00874EF3" w:rsidRDefault="007A4348" w:rsidP="007A4348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22"/>
        </w:rPr>
      </w:pPr>
    </w:p>
    <w:p w14:paraId="23048EB1" w14:textId="77777777" w:rsidR="007A4348" w:rsidRPr="00FF19BF" w:rsidRDefault="007A4348" w:rsidP="007A4348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left="851" w:hanging="218"/>
        <w:jc w:val="both"/>
        <w:rPr>
          <w:rFonts w:ascii="Century Gothic" w:hAnsi="Century Gothic"/>
          <w:sz w:val="22"/>
          <w:szCs w:val="22"/>
        </w:rPr>
      </w:pPr>
      <w:r w:rsidRPr="00FF19BF">
        <w:rPr>
          <w:rFonts w:ascii="Century Gothic" w:hAnsi="Century Gothic"/>
          <w:sz w:val="22"/>
          <w:szCs w:val="22"/>
        </w:rPr>
        <w:t>Debilidades de control de interfaz de datos entre los módulos del Sistema de Crédito, para el traslado de valores relevantes para el otorgamiento de crediticia.</w:t>
      </w:r>
    </w:p>
    <w:p w14:paraId="00E2D8FF" w14:textId="77777777" w:rsidR="007A4348" w:rsidRPr="00FF19BF" w:rsidRDefault="007A4348" w:rsidP="007A4348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left="851" w:hanging="218"/>
        <w:jc w:val="both"/>
        <w:rPr>
          <w:rFonts w:ascii="Century Gothic" w:hAnsi="Century Gothic"/>
          <w:sz w:val="22"/>
          <w:szCs w:val="22"/>
        </w:rPr>
      </w:pPr>
      <w:r w:rsidRPr="00FF19BF">
        <w:rPr>
          <w:rFonts w:ascii="Century Gothic" w:hAnsi="Century Gothic"/>
          <w:sz w:val="22"/>
          <w:szCs w:val="22"/>
        </w:rPr>
        <w:t>Separación de funciones en el Sistema de Crédito, para la revisión y aprobación de operaciones crediticias.</w:t>
      </w:r>
    </w:p>
    <w:p w14:paraId="19AB670F" w14:textId="77777777" w:rsidR="007A4348" w:rsidRPr="00FF19BF" w:rsidRDefault="007A4348" w:rsidP="007A4348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left="851" w:hanging="218"/>
        <w:jc w:val="both"/>
        <w:rPr>
          <w:rFonts w:ascii="Century Gothic" w:hAnsi="Century Gothic"/>
          <w:sz w:val="22"/>
          <w:szCs w:val="22"/>
        </w:rPr>
      </w:pPr>
      <w:r w:rsidRPr="00FF19BF">
        <w:rPr>
          <w:rFonts w:ascii="Century Gothic" w:hAnsi="Century Gothic"/>
          <w:sz w:val="22"/>
          <w:szCs w:val="22"/>
        </w:rPr>
        <w:t>Oportunidades de mejora en la reportería de Crédito</w:t>
      </w:r>
    </w:p>
    <w:p w14:paraId="5F9D7BAC" w14:textId="77777777" w:rsidR="007A4348" w:rsidRPr="00FF19BF" w:rsidRDefault="007A4348" w:rsidP="007A4348">
      <w:pPr>
        <w:pStyle w:val="Prrafodelista"/>
        <w:autoSpaceDE w:val="0"/>
        <w:autoSpaceDN w:val="0"/>
        <w:adjustRightInd w:val="0"/>
        <w:ind w:left="1440"/>
        <w:jc w:val="both"/>
        <w:rPr>
          <w:rFonts w:ascii="Century Gothic" w:hAnsi="Century Gothic"/>
          <w:sz w:val="22"/>
          <w:szCs w:val="22"/>
        </w:rPr>
      </w:pPr>
    </w:p>
    <w:p w14:paraId="379E56EE" w14:textId="77777777" w:rsidR="007A4348" w:rsidRPr="00AB19C7" w:rsidRDefault="007A4348" w:rsidP="007A4348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ascii="Century Gothic" w:hAnsi="Century Gothic"/>
          <w:b/>
          <w:sz w:val="22"/>
          <w:szCs w:val="22"/>
        </w:rPr>
      </w:pPr>
      <w:r w:rsidRPr="00AB19C7">
        <w:rPr>
          <w:rFonts w:ascii="Century Gothic" w:hAnsi="Century Gothic"/>
          <w:sz w:val="22"/>
          <w:szCs w:val="22"/>
        </w:rPr>
        <w:t>En cuanto al cumplimiento normativo, se identificaron oportunidades de mejora que fueron comunicadas a la Administración para lo correspondiente, particularmente lo referente al cumplimiento de</w:t>
      </w:r>
      <w:r>
        <w:rPr>
          <w:rFonts w:ascii="Century Gothic" w:hAnsi="Century Gothic"/>
          <w:sz w:val="22"/>
          <w:szCs w:val="22"/>
        </w:rPr>
        <w:t xml:space="preserve"> </w:t>
      </w:r>
      <w:r w:rsidRPr="00AB19C7">
        <w:rPr>
          <w:rFonts w:ascii="Century Gothic" w:hAnsi="Century Gothic"/>
          <w:sz w:val="22"/>
          <w:szCs w:val="22"/>
        </w:rPr>
        <w:t>l</w:t>
      </w:r>
      <w:r>
        <w:rPr>
          <w:rFonts w:ascii="Century Gothic" w:hAnsi="Century Gothic"/>
          <w:sz w:val="22"/>
          <w:szCs w:val="22"/>
        </w:rPr>
        <w:t>os</w:t>
      </w:r>
      <w:r w:rsidRPr="00AB19C7">
        <w:rPr>
          <w:rFonts w:ascii="Century Gothic" w:hAnsi="Century Gothic"/>
          <w:sz w:val="22"/>
          <w:szCs w:val="22"/>
        </w:rPr>
        <w:t xml:space="preserve"> artículo</w:t>
      </w:r>
      <w:r>
        <w:rPr>
          <w:rFonts w:ascii="Century Gothic" w:hAnsi="Century Gothic"/>
          <w:sz w:val="22"/>
          <w:szCs w:val="22"/>
        </w:rPr>
        <w:t>s</w:t>
      </w:r>
      <w:r w:rsidRPr="00AB19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Nos. </w:t>
      </w:r>
      <w:r w:rsidRPr="00AB19C7">
        <w:rPr>
          <w:rFonts w:ascii="Century Gothic" w:hAnsi="Century Gothic"/>
          <w:sz w:val="22"/>
          <w:szCs w:val="22"/>
        </w:rPr>
        <w:t>7 y 41 del Reglamento de Gestión de Activos, ambos relacionados con aprobaci</w:t>
      </w:r>
      <w:r>
        <w:rPr>
          <w:rFonts w:ascii="Century Gothic" w:hAnsi="Century Gothic"/>
          <w:sz w:val="22"/>
          <w:szCs w:val="22"/>
        </w:rPr>
        <w:t>ón de créditos.</w:t>
      </w:r>
    </w:p>
    <w:p w14:paraId="5079B7BC" w14:textId="77777777" w:rsidR="007A4348" w:rsidRDefault="007A4348" w:rsidP="007A4348">
      <w:pPr>
        <w:jc w:val="both"/>
      </w:pPr>
    </w:p>
    <w:p w14:paraId="688A87E1" w14:textId="77777777" w:rsidR="007A4348" w:rsidRDefault="007A4348" w:rsidP="007A4348">
      <w:pPr>
        <w:jc w:val="both"/>
        <w:rPr>
          <w:rFonts w:ascii="Century Gothic" w:hAnsi="Century Gothic"/>
          <w:sz w:val="22"/>
          <w:szCs w:val="22"/>
        </w:rPr>
      </w:pPr>
      <w:r w:rsidRPr="008D6CB9">
        <w:rPr>
          <w:rFonts w:ascii="Century Gothic" w:hAnsi="Century Gothic"/>
          <w:sz w:val="22"/>
          <w:szCs w:val="22"/>
        </w:rPr>
        <w:t xml:space="preserve">Esta revisión fue aprobada en la Sesión Ordinaria No. </w:t>
      </w:r>
      <w:r>
        <w:rPr>
          <w:rFonts w:ascii="Century Gothic" w:hAnsi="Century Gothic"/>
          <w:sz w:val="22"/>
          <w:szCs w:val="22"/>
        </w:rPr>
        <w:t>102</w:t>
      </w:r>
      <w:r w:rsidRPr="008D6CB9">
        <w:rPr>
          <w:rFonts w:ascii="Century Gothic" w:hAnsi="Century Gothic"/>
          <w:sz w:val="22"/>
          <w:szCs w:val="22"/>
        </w:rPr>
        <w:t xml:space="preserve">-2020 del </w:t>
      </w:r>
      <w:r>
        <w:rPr>
          <w:rFonts w:ascii="Century Gothic" w:hAnsi="Century Gothic"/>
          <w:sz w:val="22"/>
          <w:szCs w:val="22"/>
        </w:rPr>
        <w:t>16 de setiembre</w:t>
      </w:r>
      <w:r w:rsidRPr="008D6CB9">
        <w:rPr>
          <w:rFonts w:ascii="Century Gothic" w:hAnsi="Century Gothic"/>
          <w:sz w:val="22"/>
          <w:szCs w:val="22"/>
        </w:rPr>
        <w:t xml:space="preserve"> de 2020.</w:t>
      </w:r>
    </w:p>
    <w:p w14:paraId="258BA1C0" w14:textId="77777777" w:rsidR="007A4348" w:rsidRDefault="007A4348" w:rsidP="007A4348">
      <w:pPr>
        <w:jc w:val="both"/>
      </w:pPr>
    </w:p>
    <w:p w14:paraId="78C90283" w14:textId="53C1F92A" w:rsidR="007A4348" w:rsidRDefault="007A4348" w:rsidP="007A4348">
      <w:pPr>
        <w:spacing w:after="160" w:line="259" w:lineRule="auto"/>
        <w:rPr>
          <w:rFonts w:ascii="Century Gothic" w:hAnsi="Century Gothic" w:cs="Courier New"/>
          <w:b/>
          <w:bCs/>
          <w:color w:val="002060"/>
          <w:sz w:val="22"/>
          <w:szCs w:val="22"/>
        </w:rPr>
      </w:pPr>
    </w:p>
    <w:sectPr w:rsidR="007A4348" w:rsidSect="009B17C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528BF"/>
    <w:multiLevelType w:val="hybridMultilevel"/>
    <w:tmpl w:val="B4141BB8"/>
    <w:lvl w:ilvl="0" w:tplc="A91A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D6008"/>
    <w:multiLevelType w:val="hybridMultilevel"/>
    <w:tmpl w:val="B4A0F51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360157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F55D1E"/>
    <w:multiLevelType w:val="hybridMultilevel"/>
    <w:tmpl w:val="44083DC4"/>
    <w:lvl w:ilvl="0" w:tplc="7A20A1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22C41"/>
    <w:multiLevelType w:val="hybridMultilevel"/>
    <w:tmpl w:val="B4141BB8"/>
    <w:lvl w:ilvl="0" w:tplc="A91A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6"/>
  </w:num>
  <w:num w:numId="5">
    <w:abstractNumId w:val="1"/>
  </w:num>
  <w:num w:numId="6">
    <w:abstractNumId w:val="17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B9"/>
    <w:rsid w:val="004028F1"/>
    <w:rsid w:val="00492323"/>
    <w:rsid w:val="005704BE"/>
    <w:rsid w:val="00643B82"/>
    <w:rsid w:val="006578A6"/>
    <w:rsid w:val="007A4348"/>
    <w:rsid w:val="00892885"/>
    <w:rsid w:val="008A2E87"/>
    <w:rsid w:val="008D6CB9"/>
    <w:rsid w:val="00953DC0"/>
    <w:rsid w:val="0096354A"/>
    <w:rsid w:val="009B17C1"/>
    <w:rsid w:val="00C97151"/>
    <w:rsid w:val="00DC1017"/>
    <w:rsid w:val="00ED0DE1"/>
    <w:rsid w:val="00F5451A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B081"/>
  <w15:chartTrackingRefBased/>
  <w15:docId w15:val="{A2B0521C-54E4-4973-84A5-8F505D1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8D6CB9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D6CB9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8D6CB9"/>
    <w:pPr>
      <w:ind w:left="720"/>
      <w:contextualSpacing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8D6CB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D6CB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">
    <w:name w:val="List"/>
    <w:basedOn w:val="Normal"/>
    <w:uiPriority w:val="99"/>
    <w:unhideWhenUsed/>
    <w:rsid w:val="008D6CB9"/>
    <w:pPr>
      <w:ind w:left="283" w:hanging="283"/>
      <w:contextualSpacing/>
    </w:pPr>
  </w:style>
  <w:style w:type="paragraph" w:customStyle="1" w:styleId="BodyText21">
    <w:name w:val="Body Text 21"/>
    <w:basedOn w:val="Normal"/>
    <w:rsid w:val="008D6CB9"/>
    <w:pPr>
      <w:jc w:val="both"/>
    </w:pPr>
    <w:rPr>
      <w:rFonts w:ascii="Garamond" w:hAnsi="Garamond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D6C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6C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