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F3333" w14:textId="77777777" w:rsidR="00ED0DE1" w:rsidRPr="00C97151" w:rsidRDefault="00ED0DE1" w:rsidP="00ED0DE1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 xml:space="preserve">Estudio No. 16-2020 </w:t>
      </w:r>
    </w:p>
    <w:p w14:paraId="7FFBE54B" w14:textId="77777777" w:rsidR="00ED0DE1" w:rsidRPr="00C97151" w:rsidRDefault="00ED0DE1" w:rsidP="00ED0DE1">
      <w:pPr>
        <w:pStyle w:val="Ttulo4"/>
        <w:rPr>
          <w:color w:val="002060"/>
          <w:sz w:val="22"/>
          <w:szCs w:val="22"/>
        </w:rPr>
      </w:pPr>
      <w:r w:rsidRPr="00C97151">
        <w:rPr>
          <w:color w:val="002060"/>
          <w:sz w:val="22"/>
          <w:szCs w:val="22"/>
        </w:rPr>
        <w:t>Revisión de la composición, morosidad y gestiones de cobro de los créditos otorgados con recursos del Fondo Especial de Administración</w:t>
      </w:r>
    </w:p>
    <w:p w14:paraId="7D98702B" w14:textId="77777777" w:rsidR="00ED0DE1" w:rsidRPr="00C97151" w:rsidRDefault="00ED0DE1" w:rsidP="00ED0DE1">
      <w:pPr>
        <w:rPr>
          <w:color w:val="002060"/>
        </w:rPr>
      </w:pPr>
    </w:p>
    <w:p w14:paraId="5C1420A0" w14:textId="77777777" w:rsidR="00ED0DE1" w:rsidRPr="00C97151" w:rsidRDefault="00ED0DE1" w:rsidP="00ED0DE1">
      <w:pPr>
        <w:rPr>
          <w:rFonts w:ascii="Century Gothic" w:hAnsi="Century Gothic"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I. Alcance</w:t>
      </w:r>
    </w:p>
    <w:p w14:paraId="0B346F79" w14:textId="77777777" w:rsidR="00ED0DE1" w:rsidRPr="002A14EF" w:rsidRDefault="00ED0DE1" w:rsidP="00ED0DE1">
      <w:pPr>
        <w:jc w:val="both"/>
        <w:rPr>
          <w:rFonts w:ascii="Century Gothic" w:hAnsi="Century Gothic"/>
          <w:iCs/>
          <w:sz w:val="22"/>
          <w:szCs w:val="22"/>
          <w:lang w:val="es-MX"/>
        </w:rPr>
      </w:pPr>
      <w:r>
        <w:rPr>
          <w:rFonts w:ascii="Century Gothic" w:hAnsi="Century Gothic"/>
          <w:iCs/>
          <w:sz w:val="22"/>
          <w:szCs w:val="22"/>
          <w:lang w:val="es-MX"/>
        </w:rPr>
        <w:t>R</w:t>
      </w:r>
      <w:r w:rsidRPr="002A14EF">
        <w:rPr>
          <w:rFonts w:ascii="Century Gothic" w:hAnsi="Century Gothic"/>
          <w:iCs/>
          <w:sz w:val="22"/>
          <w:szCs w:val="22"/>
          <w:lang w:val="es-MX"/>
        </w:rPr>
        <w:t>evisión de la cartera, morosidad, gestiones de cobro y seguimiento de garantías de los créditos del Fondo Especial de Administración</w:t>
      </w:r>
      <w:r w:rsidRPr="002A14EF">
        <w:rPr>
          <w:rFonts w:ascii="Century Gothic" w:hAnsi="Century Gothic"/>
          <w:iCs/>
          <w:sz w:val="22"/>
          <w:szCs w:val="22"/>
          <w:lang w:val="es-ES_tradnl"/>
        </w:rPr>
        <w:t xml:space="preserve"> periodo comprendido del </w:t>
      </w:r>
      <w:r w:rsidRPr="002A14EF">
        <w:rPr>
          <w:rFonts w:ascii="Century Gothic" w:hAnsi="Century Gothic"/>
          <w:iCs/>
          <w:color w:val="000000"/>
          <w:sz w:val="22"/>
          <w:szCs w:val="22"/>
        </w:rPr>
        <w:t>01/03/2019 al 28/02/2020.</w:t>
      </w:r>
    </w:p>
    <w:p w14:paraId="75A52429" w14:textId="77777777" w:rsidR="00ED0DE1" w:rsidRPr="00376BFB" w:rsidRDefault="00ED0DE1" w:rsidP="00ED0DE1">
      <w:pPr>
        <w:jc w:val="both"/>
        <w:rPr>
          <w:rFonts w:ascii="Century Gothic" w:hAnsi="Century Gothic"/>
          <w:sz w:val="22"/>
          <w:szCs w:val="22"/>
          <w:highlight w:val="yellow"/>
          <w:lang w:val="es-ES_tradnl"/>
        </w:rPr>
      </w:pPr>
    </w:p>
    <w:p w14:paraId="5B69235E" w14:textId="77777777" w:rsidR="00ED0DE1" w:rsidRPr="00C97151" w:rsidRDefault="00ED0DE1" w:rsidP="00ED0DE1">
      <w:pPr>
        <w:jc w:val="both"/>
        <w:rPr>
          <w:rFonts w:ascii="Century Gothic" w:hAnsi="Century Gothic"/>
          <w:color w:val="002060"/>
          <w:sz w:val="22"/>
          <w:szCs w:val="22"/>
          <w:lang w:val="es-ES_tradnl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II. Objetivos</w:t>
      </w:r>
    </w:p>
    <w:p w14:paraId="6B7EAB55" w14:textId="77777777" w:rsidR="00ED0DE1" w:rsidRPr="002A14EF" w:rsidRDefault="00ED0DE1" w:rsidP="00ED0DE1">
      <w:pPr>
        <w:jc w:val="both"/>
        <w:rPr>
          <w:rFonts w:ascii="Century Gothic" w:hAnsi="Century Gothic"/>
          <w:sz w:val="22"/>
          <w:szCs w:val="22"/>
          <w:lang w:val="es-MX"/>
        </w:rPr>
      </w:pPr>
      <w:r w:rsidRPr="002A14EF">
        <w:rPr>
          <w:rFonts w:ascii="Century Gothic" w:hAnsi="Century Gothic"/>
          <w:sz w:val="22"/>
          <w:szCs w:val="22"/>
          <w:lang w:val="es-MX"/>
        </w:rPr>
        <w:t>Para el presente estudio, se definieron los siguientes objetivos:</w:t>
      </w:r>
    </w:p>
    <w:p w14:paraId="757FC214" w14:textId="77777777" w:rsidR="00ED0DE1" w:rsidRPr="00953DC0" w:rsidRDefault="00ED0DE1" w:rsidP="00ED0DE1">
      <w:pPr>
        <w:jc w:val="both"/>
        <w:rPr>
          <w:rFonts w:ascii="Century Gothic" w:hAnsi="Century Gothic"/>
          <w:sz w:val="16"/>
          <w:szCs w:val="16"/>
          <w:lang w:val="es-MX"/>
        </w:rPr>
      </w:pPr>
    </w:p>
    <w:p w14:paraId="4145702D" w14:textId="77777777" w:rsidR="00ED0DE1" w:rsidRPr="002A14EF" w:rsidRDefault="00ED0DE1" w:rsidP="00ED0DE1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2A14EF">
        <w:rPr>
          <w:rFonts w:ascii="Century Gothic" w:hAnsi="Century Gothic"/>
          <w:sz w:val="22"/>
          <w:szCs w:val="22"/>
          <w:lang w:val="es-MX"/>
        </w:rPr>
        <w:t>Validar la composición, morosidad, gestiones de cobro y seguimiento de garantías de la cartera de créditos del Fondo Especial de Administración, para el periodo bajo estudio.</w:t>
      </w:r>
    </w:p>
    <w:p w14:paraId="1FED5261" w14:textId="77777777" w:rsidR="00ED0DE1" w:rsidRPr="00953DC0" w:rsidRDefault="00ED0DE1" w:rsidP="00ED0DE1">
      <w:pPr>
        <w:jc w:val="both"/>
        <w:rPr>
          <w:rFonts w:ascii="Century Gothic" w:hAnsi="Century Gothic"/>
          <w:sz w:val="16"/>
          <w:szCs w:val="16"/>
          <w:lang w:val="es-MX"/>
        </w:rPr>
      </w:pPr>
    </w:p>
    <w:p w14:paraId="6E7E1985" w14:textId="77777777" w:rsidR="00ED0DE1" w:rsidRPr="0096354A" w:rsidRDefault="00ED0DE1" w:rsidP="00ED0DE1">
      <w:pPr>
        <w:pStyle w:val="Prrafodelista"/>
        <w:numPr>
          <w:ilvl w:val="0"/>
          <w:numId w:val="19"/>
        </w:numPr>
        <w:ind w:left="426" w:hanging="426"/>
        <w:jc w:val="both"/>
        <w:rPr>
          <w:rFonts w:ascii="Century Gothic" w:hAnsi="Century Gothic"/>
          <w:sz w:val="22"/>
          <w:szCs w:val="22"/>
          <w:lang w:val="es-MX"/>
        </w:rPr>
      </w:pPr>
      <w:r w:rsidRPr="0096354A">
        <w:rPr>
          <w:rFonts w:ascii="Century Gothic" w:hAnsi="Century Gothic"/>
          <w:sz w:val="22"/>
          <w:szCs w:val="22"/>
          <w:lang w:val="es-MX"/>
        </w:rPr>
        <w:t>Verificar el cumplimiento de la normativa interna y externa relacionada con la cartera de créditos del Fondo Especial de Administración.</w:t>
      </w:r>
    </w:p>
    <w:p w14:paraId="76A5EBB0" w14:textId="77777777" w:rsidR="00ED0DE1" w:rsidRDefault="00ED0DE1" w:rsidP="00ED0DE1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564FC030" w14:textId="77777777" w:rsidR="00ED0DE1" w:rsidRPr="00C97151" w:rsidRDefault="00ED0DE1" w:rsidP="00ED0DE1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color w:val="002060"/>
          <w:sz w:val="22"/>
          <w:szCs w:val="22"/>
        </w:rPr>
      </w:pPr>
      <w:r w:rsidRPr="00C97151">
        <w:rPr>
          <w:rFonts w:ascii="Century Gothic" w:hAnsi="Century Gothic"/>
          <w:b/>
          <w:bCs/>
          <w:color w:val="002060"/>
          <w:sz w:val="22"/>
          <w:szCs w:val="22"/>
        </w:rPr>
        <w:t>III. Resultados Obtenidos</w:t>
      </w:r>
    </w:p>
    <w:p w14:paraId="4C8CD804" w14:textId="77777777" w:rsidR="00ED0DE1" w:rsidRPr="00567159" w:rsidRDefault="00ED0DE1" w:rsidP="00ED0DE1">
      <w:pPr>
        <w:contextualSpacing/>
        <w:jc w:val="both"/>
        <w:rPr>
          <w:rFonts w:ascii="Century Gothic" w:hAnsi="Century Gothic"/>
          <w:bCs/>
          <w:sz w:val="22"/>
          <w:szCs w:val="22"/>
        </w:rPr>
      </w:pPr>
      <w:r w:rsidRPr="00567159">
        <w:rPr>
          <w:rFonts w:ascii="Century Gothic" w:hAnsi="Century Gothic"/>
          <w:bCs/>
          <w:sz w:val="22"/>
          <w:szCs w:val="22"/>
        </w:rPr>
        <w:t>De conformidad con los objetivos propuestos para esta revisión:</w:t>
      </w:r>
    </w:p>
    <w:p w14:paraId="5247DE7B" w14:textId="77777777" w:rsidR="00ED0DE1" w:rsidRPr="00953DC0" w:rsidRDefault="00ED0DE1" w:rsidP="00ED0DE1">
      <w:pPr>
        <w:contextualSpacing/>
        <w:jc w:val="both"/>
        <w:rPr>
          <w:rFonts w:ascii="Century Gothic" w:hAnsi="Century Gothic"/>
          <w:bCs/>
          <w:sz w:val="16"/>
          <w:szCs w:val="16"/>
        </w:rPr>
      </w:pPr>
    </w:p>
    <w:p w14:paraId="2A2EE409" w14:textId="77777777" w:rsidR="00ED0DE1" w:rsidRPr="00873C6E" w:rsidRDefault="00ED0DE1" w:rsidP="00ED0DE1">
      <w:pPr>
        <w:pStyle w:val="Textoindependiente"/>
        <w:numPr>
          <w:ilvl w:val="0"/>
          <w:numId w:val="8"/>
        </w:numPr>
        <w:spacing w:after="0"/>
        <w:ind w:left="426" w:right="49"/>
        <w:jc w:val="both"/>
        <w:rPr>
          <w:rFonts w:ascii="Century Gothic" w:hAnsi="Century Gothic"/>
          <w:sz w:val="22"/>
          <w:szCs w:val="22"/>
        </w:rPr>
      </w:pPr>
      <w:r w:rsidRPr="0032164F">
        <w:rPr>
          <w:rFonts w:ascii="Century Gothic" w:hAnsi="Century Gothic"/>
          <w:sz w:val="22"/>
          <w:szCs w:val="22"/>
        </w:rPr>
        <w:t>Se validó la gestión de</w:t>
      </w:r>
      <w:r w:rsidRPr="00567159">
        <w:rPr>
          <w:rFonts w:ascii="Century Gothic" w:hAnsi="Century Gothic"/>
          <w:sz w:val="22"/>
          <w:szCs w:val="22"/>
        </w:rPr>
        <w:t xml:space="preserve"> campañas de cobro utilizando diferentes tipos de filtros, según el enfoque o necesidad, </w:t>
      </w:r>
      <w:r>
        <w:rPr>
          <w:rFonts w:ascii="Century Gothic" w:hAnsi="Century Gothic"/>
          <w:sz w:val="22"/>
          <w:szCs w:val="22"/>
        </w:rPr>
        <w:t xml:space="preserve">a través de las entrevistas efectuadas y la revisión de </w:t>
      </w:r>
      <w:r w:rsidRPr="00873C6E">
        <w:rPr>
          <w:rFonts w:ascii="Century Gothic" w:hAnsi="Century Gothic"/>
          <w:sz w:val="22"/>
          <w:szCs w:val="22"/>
        </w:rPr>
        <w:t xml:space="preserve">una muestra </w:t>
      </w:r>
      <w:r w:rsidRPr="0032164F">
        <w:rPr>
          <w:rFonts w:ascii="Century Gothic" w:hAnsi="Century Gothic"/>
          <w:sz w:val="22"/>
          <w:szCs w:val="22"/>
        </w:rPr>
        <w:t xml:space="preserve">aleatoria </w:t>
      </w:r>
      <w:r w:rsidRPr="00873C6E">
        <w:rPr>
          <w:rFonts w:ascii="Century Gothic" w:hAnsi="Century Gothic"/>
          <w:sz w:val="22"/>
          <w:szCs w:val="22"/>
        </w:rPr>
        <w:t xml:space="preserve">de 22 operaciones de crédito de la cartera del FEA. </w:t>
      </w:r>
    </w:p>
    <w:p w14:paraId="63EEEE75" w14:textId="77777777" w:rsidR="00ED0DE1" w:rsidRPr="00953DC0" w:rsidRDefault="00ED0DE1" w:rsidP="00ED0DE1">
      <w:pPr>
        <w:ind w:left="426"/>
        <w:rPr>
          <w:rFonts w:ascii="Century Gothic" w:hAnsi="Century Gothic"/>
          <w:sz w:val="16"/>
          <w:szCs w:val="16"/>
        </w:rPr>
      </w:pPr>
    </w:p>
    <w:p w14:paraId="603ED964" w14:textId="77777777" w:rsidR="00ED0DE1" w:rsidRPr="00873C6E" w:rsidRDefault="00ED0DE1" w:rsidP="00ED0DE1">
      <w:pPr>
        <w:pStyle w:val="Prrafodelista"/>
        <w:numPr>
          <w:ilvl w:val="0"/>
          <w:numId w:val="6"/>
        </w:numPr>
        <w:ind w:left="426" w:right="49"/>
        <w:jc w:val="both"/>
        <w:rPr>
          <w:rFonts w:ascii="Century Gothic" w:hAnsi="Century Gothic"/>
          <w:sz w:val="22"/>
          <w:szCs w:val="22"/>
          <w:lang w:val="es-CR"/>
        </w:rPr>
      </w:pPr>
      <w:r w:rsidRPr="00873C6E">
        <w:rPr>
          <w:rFonts w:ascii="Century Gothic" w:hAnsi="Century Gothic"/>
          <w:sz w:val="22"/>
          <w:szCs w:val="22"/>
        </w:rPr>
        <w:t>Se indagó con el Departamento Legal, sobre el proceso de operaciones de crédito en Cobro Judicial y se identificó una oportunidad de mejora, que fue comunicada a la Administración.</w:t>
      </w:r>
    </w:p>
    <w:p w14:paraId="6626B7D4" w14:textId="77777777" w:rsidR="00ED0DE1" w:rsidRPr="00953DC0" w:rsidRDefault="00ED0DE1" w:rsidP="00ED0DE1">
      <w:pPr>
        <w:pStyle w:val="Prrafodelista"/>
        <w:ind w:left="426"/>
        <w:rPr>
          <w:rFonts w:ascii="Century Gothic" w:hAnsi="Century Gothic"/>
          <w:sz w:val="16"/>
          <w:szCs w:val="16"/>
          <w:highlight w:val="yellow"/>
        </w:rPr>
      </w:pPr>
    </w:p>
    <w:p w14:paraId="76672C6F" w14:textId="77777777" w:rsidR="00ED0DE1" w:rsidRPr="00567159" w:rsidRDefault="00ED0DE1" w:rsidP="00ED0DE1">
      <w:pPr>
        <w:numPr>
          <w:ilvl w:val="0"/>
          <w:numId w:val="6"/>
        </w:numPr>
        <w:ind w:left="426"/>
        <w:jc w:val="both"/>
        <w:rPr>
          <w:rFonts w:ascii="Century Gothic" w:hAnsi="Century Gothic"/>
          <w:sz w:val="22"/>
          <w:szCs w:val="22"/>
        </w:rPr>
      </w:pPr>
      <w:r w:rsidRPr="00873C6E">
        <w:rPr>
          <w:rFonts w:ascii="Century Gothic" w:hAnsi="Century Gothic"/>
          <w:sz w:val="22"/>
          <w:szCs w:val="22"/>
        </w:rPr>
        <w:t>Se</w:t>
      </w:r>
      <w:r w:rsidRPr="00567159">
        <w:rPr>
          <w:rFonts w:ascii="Century Gothic" w:hAnsi="Century Gothic"/>
          <w:sz w:val="22"/>
          <w:szCs w:val="22"/>
        </w:rPr>
        <w:t xml:space="preserve"> analizó el comportamiento de la morosidad de la cartera de crédito del FEA en el periodo bajo estudio y se observó que hubo </w:t>
      </w:r>
      <w:r w:rsidRPr="0032164F">
        <w:rPr>
          <w:rFonts w:ascii="Century Gothic" w:hAnsi="Century Gothic"/>
          <w:sz w:val="22"/>
          <w:szCs w:val="22"/>
        </w:rPr>
        <w:t xml:space="preserve">un </w:t>
      </w:r>
      <w:r w:rsidRPr="00567159">
        <w:rPr>
          <w:rFonts w:ascii="Century Gothic" w:hAnsi="Century Gothic"/>
          <w:sz w:val="22"/>
          <w:szCs w:val="22"/>
        </w:rPr>
        <w:t xml:space="preserve">incremento de casos </w:t>
      </w:r>
      <w:r w:rsidRPr="0032164F">
        <w:rPr>
          <w:rFonts w:ascii="Century Gothic" w:hAnsi="Century Gothic"/>
          <w:sz w:val="22"/>
          <w:szCs w:val="22"/>
        </w:rPr>
        <w:t>con morosidad</w:t>
      </w:r>
      <w:r>
        <w:rPr>
          <w:rFonts w:ascii="Century Gothic" w:hAnsi="Century Gothic"/>
          <w:sz w:val="22"/>
          <w:szCs w:val="22"/>
        </w:rPr>
        <w:t xml:space="preserve">, determinándose </w:t>
      </w:r>
      <w:r w:rsidRPr="00BA0D66">
        <w:rPr>
          <w:rFonts w:ascii="Century Gothic" w:hAnsi="Century Gothic"/>
          <w:noProof/>
          <w:sz w:val="22"/>
          <w:szCs w:val="20"/>
          <w:lang w:eastAsia="es-CR"/>
        </w:rPr>
        <w:t xml:space="preserve">que a pesar de que </w:t>
      </w:r>
      <w:r w:rsidRPr="00BA0D66">
        <w:rPr>
          <w:rFonts w:ascii="Century Gothic" w:hAnsi="Century Gothic"/>
          <w:noProof/>
          <w:sz w:val="22"/>
          <w:szCs w:val="22"/>
          <w:lang w:eastAsia="es-CR"/>
        </w:rPr>
        <w:t xml:space="preserve">la Unidad de Cobro realiza las gestiones de </w:t>
      </w:r>
      <w:r>
        <w:rPr>
          <w:rFonts w:ascii="Century Gothic" w:hAnsi="Century Gothic"/>
          <w:noProof/>
          <w:sz w:val="22"/>
          <w:szCs w:val="22"/>
          <w:lang w:eastAsia="es-CR"/>
        </w:rPr>
        <w:t>c</w:t>
      </w:r>
      <w:r w:rsidRPr="00BA0D66">
        <w:rPr>
          <w:rFonts w:ascii="Century Gothic" w:hAnsi="Century Gothic"/>
          <w:noProof/>
          <w:sz w:val="22"/>
          <w:szCs w:val="22"/>
          <w:lang w:eastAsia="es-CR"/>
        </w:rPr>
        <w:t xml:space="preserve">obro, estas </w:t>
      </w:r>
      <w:r>
        <w:rPr>
          <w:rFonts w:ascii="Century Gothic" w:hAnsi="Century Gothic"/>
          <w:noProof/>
          <w:sz w:val="22"/>
          <w:szCs w:val="22"/>
          <w:lang w:eastAsia="es-CR"/>
        </w:rPr>
        <w:t xml:space="preserve">aún </w:t>
      </w:r>
      <w:r w:rsidRPr="00BA0D66">
        <w:rPr>
          <w:rFonts w:ascii="Century Gothic" w:hAnsi="Century Gothic"/>
          <w:noProof/>
          <w:sz w:val="22"/>
          <w:szCs w:val="22"/>
          <w:lang w:eastAsia="es-CR"/>
        </w:rPr>
        <w:t>no han dado el resultado esperado</w:t>
      </w:r>
      <w:r>
        <w:rPr>
          <w:rFonts w:ascii="Century Gothic" w:hAnsi="Century Gothic"/>
          <w:noProof/>
          <w:sz w:val="22"/>
          <w:szCs w:val="22"/>
          <w:lang w:eastAsia="es-CR"/>
        </w:rPr>
        <w:t>.</w:t>
      </w:r>
    </w:p>
    <w:p w14:paraId="6F209828" w14:textId="77777777" w:rsidR="00ED0DE1" w:rsidRPr="00953DC0" w:rsidRDefault="00ED0DE1" w:rsidP="00ED0DE1">
      <w:pPr>
        <w:pStyle w:val="Prrafodelista"/>
        <w:ind w:left="426"/>
        <w:rPr>
          <w:rFonts w:ascii="Century Gothic" w:hAnsi="Century Gothic"/>
          <w:sz w:val="16"/>
          <w:szCs w:val="16"/>
          <w:highlight w:val="yellow"/>
        </w:rPr>
      </w:pPr>
    </w:p>
    <w:p w14:paraId="507A1DDB" w14:textId="77777777" w:rsidR="00ED0DE1" w:rsidRPr="0001108C" w:rsidRDefault="00ED0DE1" w:rsidP="00ED0DE1">
      <w:pPr>
        <w:numPr>
          <w:ilvl w:val="0"/>
          <w:numId w:val="7"/>
        </w:numPr>
        <w:ind w:left="426"/>
        <w:jc w:val="both"/>
        <w:rPr>
          <w:rFonts w:ascii="Century Gothic" w:hAnsi="Century Gothic"/>
          <w:sz w:val="22"/>
          <w:szCs w:val="22"/>
        </w:rPr>
      </w:pPr>
      <w:r w:rsidRPr="0001108C">
        <w:rPr>
          <w:rFonts w:ascii="Century Gothic" w:hAnsi="Century Gothic"/>
          <w:sz w:val="22"/>
          <w:szCs w:val="22"/>
        </w:rPr>
        <w:t xml:space="preserve">Al revisar el expediente del crédito para la Línea para Entidades Sociales y Financieras del Magisterio Nacional, de las operaciones 297732 y 300536 de la Asociación Nacional de Educadores, se observó </w:t>
      </w:r>
      <w:r>
        <w:rPr>
          <w:rFonts w:ascii="Century Gothic" w:hAnsi="Century Gothic"/>
          <w:sz w:val="22"/>
          <w:szCs w:val="22"/>
        </w:rPr>
        <w:t>el no cumplimiento</w:t>
      </w:r>
      <w:r w:rsidRPr="0001108C">
        <w:rPr>
          <w:rFonts w:ascii="Century Gothic" w:hAnsi="Century Gothic"/>
          <w:sz w:val="22"/>
          <w:szCs w:val="22"/>
        </w:rPr>
        <w:t xml:space="preserve"> a cabalidad </w:t>
      </w:r>
      <w:r>
        <w:rPr>
          <w:rFonts w:ascii="Century Gothic" w:hAnsi="Century Gothic"/>
          <w:sz w:val="22"/>
          <w:szCs w:val="22"/>
        </w:rPr>
        <w:t>de</w:t>
      </w:r>
      <w:r w:rsidRPr="0001108C">
        <w:rPr>
          <w:rFonts w:ascii="Century Gothic" w:hAnsi="Century Gothic"/>
          <w:sz w:val="22"/>
          <w:szCs w:val="22"/>
        </w:rPr>
        <w:t xml:space="preserve"> los requisitos </w:t>
      </w:r>
      <w:r>
        <w:rPr>
          <w:rFonts w:ascii="Century Gothic" w:hAnsi="Century Gothic"/>
          <w:sz w:val="22"/>
          <w:szCs w:val="22"/>
        </w:rPr>
        <w:t>consignados e</w:t>
      </w:r>
      <w:r w:rsidRPr="0001108C">
        <w:rPr>
          <w:rFonts w:ascii="Century Gothic" w:hAnsi="Century Gothic"/>
          <w:sz w:val="22"/>
          <w:szCs w:val="22"/>
        </w:rPr>
        <w:t xml:space="preserve">n el Reglamento de Crédito del FEA </w:t>
      </w:r>
      <w:r w:rsidRPr="0032164F">
        <w:rPr>
          <w:rFonts w:ascii="Century Gothic" w:hAnsi="Century Gothic"/>
          <w:sz w:val="22"/>
          <w:szCs w:val="22"/>
        </w:rPr>
        <w:t xml:space="preserve">vigente a la fecha de formalización de éste; lo cual fue comunicado a la Administración para lo correspondiente. </w:t>
      </w:r>
    </w:p>
    <w:p w14:paraId="77D846FA" w14:textId="77777777" w:rsidR="00ED0DE1" w:rsidRPr="00953DC0" w:rsidRDefault="00ED0DE1" w:rsidP="00ED0DE1">
      <w:pPr>
        <w:pStyle w:val="Textoindependiente"/>
        <w:spacing w:after="0"/>
        <w:ind w:left="426" w:right="49"/>
        <w:jc w:val="both"/>
        <w:rPr>
          <w:rFonts w:ascii="Century Gothic" w:hAnsi="Century Gothic"/>
          <w:sz w:val="16"/>
          <w:szCs w:val="16"/>
        </w:rPr>
      </w:pPr>
    </w:p>
    <w:p w14:paraId="3F27DEA7" w14:textId="77777777" w:rsidR="00ED0DE1" w:rsidRPr="0001108C" w:rsidRDefault="00ED0DE1" w:rsidP="00ED0DE1">
      <w:pPr>
        <w:pStyle w:val="Textoindependiente"/>
        <w:numPr>
          <w:ilvl w:val="0"/>
          <w:numId w:val="5"/>
        </w:numPr>
        <w:spacing w:after="0"/>
        <w:ind w:left="426" w:right="49"/>
        <w:jc w:val="both"/>
        <w:rPr>
          <w:rFonts w:ascii="Century Gothic" w:hAnsi="Century Gothic"/>
          <w:sz w:val="22"/>
          <w:szCs w:val="22"/>
        </w:rPr>
      </w:pPr>
      <w:r w:rsidRPr="0001108C">
        <w:rPr>
          <w:rFonts w:ascii="Century Gothic" w:hAnsi="Century Gothic"/>
          <w:sz w:val="22"/>
          <w:szCs w:val="22"/>
        </w:rPr>
        <w:t xml:space="preserve">Se revisó el cumplimiento de la normativa relacionada con el tema en estudio, </w:t>
      </w:r>
      <w:r w:rsidRPr="0032164F">
        <w:rPr>
          <w:rFonts w:ascii="Century Gothic" w:hAnsi="Century Gothic"/>
          <w:sz w:val="22"/>
          <w:szCs w:val="22"/>
        </w:rPr>
        <w:t xml:space="preserve">excepto por lo mencionado anteriormente, </w:t>
      </w:r>
      <w:r w:rsidRPr="0001108C">
        <w:rPr>
          <w:rFonts w:ascii="Century Gothic" w:hAnsi="Century Gothic"/>
          <w:sz w:val="22"/>
          <w:szCs w:val="22"/>
        </w:rPr>
        <w:t xml:space="preserve">no se observaron </w:t>
      </w:r>
      <w:r w:rsidRPr="0032164F">
        <w:rPr>
          <w:rFonts w:ascii="Century Gothic" w:hAnsi="Century Gothic"/>
          <w:sz w:val="22"/>
          <w:szCs w:val="22"/>
        </w:rPr>
        <w:t xml:space="preserve">otros </w:t>
      </w:r>
      <w:r w:rsidRPr="0001108C">
        <w:rPr>
          <w:rFonts w:ascii="Century Gothic" w:hAnsi="Century Gothic"/>
          <w:sz w:val="22"/>
          <w:szCs w:val="22"/>
        </w:rPr>
        <w:t>aspectos a comunicar.</w:t>
      </w:r>
    </w:p>
    <w:p w14:paraId="779593FE" w14:textId="77777777" w:rsidR="00ED0DE1" w:rsidRDefault="00ED0DE1" w:rsidP="00ED0DE1">
      <w:pPr>
        <w:jc w:val="both"/>
        <w:rPr>
          <w:rFonts w:ascii="Century Gothic" w:hAnsi="Century Gothic"/>
          <w:sz w:val="22"/>
          <w:szCs w:val="22"/>
        </w:rPr>
      </w:pPr>
    </w:p>
    <w:p w14:paraId="405B639F" w14:textId="77777777" w:rsidR="00ED0DE1" w:rsidRDefault="00ED0DE1" w:rsidP="00ED0DE1">
      <w:pPr>
        <w:jc w:val="both"/>
        <w:rPr>
          <w:rFonts w:ascii="Century Gothic" w:hAnsi="Century Gothic"/>
          <w:sz w:val="22"/>
          <w:szCs w:val="22"/>
        </w:rPr>
      </w:pPr>
      <w:r w:rsidRPr="008D6CB9">
        <w:rPr>
          <w:rFonts w:ascii="Century Gothic" w:hAnsi="Century Gothic"/>
          <w:sz w:val="22"/>
          <w:szCs w:val="22"/>
        </w:rPr>
        <w:t xml:space="preserve">Esta revisión fue </w:t>
      </w:r>
      <w:r>
        <w:rPr>
          <w:rFonts w:ascii="Century Gothic" w:hAnsi="Century Gothic"/>
          <w:sz w:val="22"/>
          <w:szCs w:val="22"/>
        </w:rPr>
        <w:t>analizada</w:t>
      </w:r>
      <w:r w:rsidRPr="008D6CB9">
        <w:rPr>
          <w:rFonts w:ascii="Century Gothic" w:hAnsi="Century Gothic"/>
          <w:sz w:val="22"/>
          <w:szCs w:val="22"/>
        </w:rPr>
        <w:t xml:space="preserve"> en la Sesión Ordinaria No. </w:t>
      </w:r>
      <w:r>
        <w:rPr>
          <w:rFonts w:ascii="Century Gothic" w:hAnsi="Century Gothic"/>
          <w:sz w:val="22"/>
          <w:szCs w:val="22"/>
        </w:rPr>
        <w:t>88</w:t>
      </w:r>
      <w:r w:rsidRPr="008D6CB9">
        <w:rPr>
          <w:rFonts w:ascii="Century Gothic" w:hAnsi="Century Gothic"/>
          <w:sz w:val="22"/>
          <w:szCs w:val="22"/>
        </w:rPr>
        <w:t xml:space="preserve">-2020 del </w:t>
      </w:r>
      <w:r>
        <w:rPr>
          <w:rFonts w:ascii="Century Gothic" w:hAnsi="Century Gothic"/>
          <w:sz w:val="22"/>
          <w:szCs w:val="22"/>
        </w:rPr>
        <w:t>07 de agosto</w:t>
      </w:r>
      <w:r w:rsidRPr="008D6CB9">
        <w:rPr>
          <w:rFonts w:ascii="Century Gothic" w:hAnsi="Century Gothic"/>
          <w:sz w:val="22"/>
          <w:szCs w:val="22"/>
        </w:rPr>
        <w:t xml:space="preserve"> de 2020.</w:t>
      </w:r>
    </w:p>
    <w:p w14:paraId="0D09976B" w14:textId="19FEC4C9" w:rsidR="00ED0DE1" w:rsidRDefault="00ED0DE1" w:rsidP="00ED0DE1"/>
    <w:sectPr w:rsidR="00ED0DE1" w:rsidSect="009B17C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528BF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D6008"/>
    <w:multiLevelType w:val="hybridMultilevel"/>
    <w:tmpl w:val="B4A0F51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360157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F55D1E"/>
    <w:multiLevelType w:val="hybridMultilevel"/>
    <w:tmpl w:val="44083DC4"/>
    <w:lvl w:ilvl="0" w:tplc="7A20A1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22C41"/>
    <w:multiLevelType w:val="hybridMultilevel"/>
    <w:tmpl w:val="B4141BB8"/>
    <w:lvl w:ilvl="0" w:tplc="A91A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6"/>
  </w:num>
  <w:num w:numId="5">
    <w:abstractNumId w:val="1"/>
  </w:num>
  <w:num w:numId="6">
    <w:abstractNumId w:val="17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5"/>
  </w:num>
  <w:num w:numId="16">
    <w:abstractNumId w:val="18"/>
  </w:num>
  <w:num w:numId="17">
    <w:abstractNumId w:val="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B9"/>
    <w:rsid w:val="004028F1"/>
    <w:rsid w:val="00492323"/>
    <w:rsid w:val="005704BE"/>
    <w:rsid w:val="00643B82"/>
    <w:rsid w:val="006578A6"/>
    <w:rsid w:val="00892885"/>
    <w:rsid w:val="008A2E87"/>
    <w:rsid w:val="008D6CB9"/>
    <w:rsid w:val="00953DC0"/>
    <w:rsid w:val="0096354A"/>
    <w:rsid w:val="009B17C1"/>
    <w:rsid w:val="00C97151"/>
    <w:rsid w:val="00DC1017"/>
    <w:rsid w:val="00ED0DE1"/>
    <w:rsid w:val="00F5451A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B081"/>
  <w15:chartTrackingRefBased/>
  <w15:docId w15:val="{A2B0521C-54E4-4973-84A5-8F505D1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8D6CB9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D6CB9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8D6CB9"/>
    <w:pPr>
      <w:ind w:left="720"/>
      <w:contextualSpacing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8D6C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D6CB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">
    <w:name w:val="List"/>
    <w:basedOn w:val="Normal"/>
    <w:uiPriority w:val="99"/>
    <w:unhideWhenUsed/>
    <w:rsid w:val="008D6CB9"/>
    <w:pPr>
      <w:ind w:left="283" w:hanging="283"/>
      <w:contextualSpacing/>
    </w:pPr>
  </w:style>
  <w:style w:type="paragraph" w:customStyle="1" w:styleId="BodyText21">
    <w:name w:val="Body Text 21"/>
    <w:basedOn w:val="Normal"/>
    <w:rsid w:val="008D6CB9"/>
    <w:pPr>
      <w:jc w:val="both"/>
    </w:pPr>
    <w:rPr>
      <w:rFonts w:ascii="Garamond" w:hAnsi="Garamond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D6C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D6CB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D6CB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