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C5A1D" w14:textId="77777777" w:rsidR="00B56B89" w:rsidRPr="00B26CE5" w:rsidRDefault="00B56B89" w:rsidP="00B56B89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 xml:space="preserve">Estudio No. 35-2020 </w:t>
      </w:r>
    </w:p>
    <w:p w14:paraId="7D19E32C" w14:textId="77777777" w:rsidR="00B56B89" w:rsidRPr="00B26CE5" w:rsidRDefault="00B56B89" w:rsidP="00B56B89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>Recursos de revocatoria con apelación del RTR</w:t>
      </w:r>
    </w:p>
    <w:p w14:paraId="652D0A9D" w14:textId="77777777" w:rsidR="00B56B89" w:rsidRPr="00B26CE5" w:rsidRDefault="00B56B89" w:rsidP="00B56B89">
      <w:pPr>
        <w:spacing w:after="0" w:line="240" w:lineRule="auto"/>
        <w:ind w:left="284" w:right="473"/>
        <w:rPr>
          <w:rFonts w:ascii="Century Gothic" w:hAnsi="Century Gothic"/>
          <w:b/>
        </w:rPr>
      </w:pPr>
    </w:p>
    <w:p w14:paraId="0BFD1E27" w14:textId="77777777" w:rsidR="00B56B89" w:rsidRPr="00B26CE5" w:rsidRDefault="00B56B89" w:rsidP="00B56B89">
      <w:pPr>
        <w:numPr>
          <w:ilvl w:val="0"/>
          <w:numId w:val="25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Alcance</w:t>
      </w:r>
    </w:p>
    <w:p w14:paraId="087A6DFA" w14:textId="77777777" w:rsidR="00B56B89" w:rsidRPr="00B26CE5" w:rsidRDefault="00B56B89" w:rsidP="00B56B89">
      <w:pPr>
        <w:spacing w:after="0" w:line="240" w:lineRule="auto"/>
        <w:jc w:val="both"/>
        <w:rPr>
          <w:rFonts w:ascii="Century Gothic" w:hAnsi="Century Gothic"/>
          <w:iCs/>
          <w:lang w:val="es-MX"/>
        </w:rPr>
      </w:pPr>
      <w:r w:rsidRPr="00B26CE5">
        <w:rPr>
          <w:rFonts w:ascii="Century Gothic" w:hAnsi="Century Gothic"/>
          <w:iCs/>
          <w:lang w:val="es-MX"/>
        </w:rPr>
        <w:t xml:space="preserve">Revisar la gestión de las solicitudes de recursos de revocatoria con apelación del Régimen Transitorio de Reparto, presentadas del 01/01/2019 al 15/02/2020. </w:t>
      </w:r>
    </w:p>
    <w:p w14:paraId="5BD9BEF3" w14:textId="77777777" w:rsidR="00B56B89" w:rsidRPr="000D5AF7" w:rsidRDefault="00B56B89" w:rsidP="00B56B89">
      <w:pPr>
        <w:spacing w:after="0" w:line="240" w:lineRule="auto"/>
        <w:ind w:firstLine="709"/>
        <w:jc w:val="both"/>
        <w:rPr>
          <w:rFonts w:ascii="Century Gothic" w:hAnsi="Century Gothic"/>
          <w:lang w:val="es-MX"/>
        </w:rPr>
      </w:pPr>
    </w:p>
    <w:p w14:paraId="4B7F53C8" w14:textId="77777777" w:rsidR="00B56B89" w:rsidRPr="000D5AF7" w:rsidRDefault="00B56B89" w:rsidP="00B56B89">
      <w:pPr>
        <w:spacing w:after="0" w:line="240" w:lineRule="auto"/>
        <w:ind w:firstLine="709"/>
        <w:rPr>
          <w:rFonts w:ascii="Century Gothic" w:hAnsi="Century Gothic"/>
          <w:lang w:val="es-MX"/>
        </w:rPr>
      </w:pPr>
    </w:p>
    <w:p w14:paraId="6EBE01E2" w14:textId="77777777" w:rsidR="00B56B89" w:rsidRPr="00B26CE5" w:rsidRDefault="00B56B89" w:rsidP="00B56B89">
      <w:pPr>
        <w:numPr>
          <w:ilvl w:val="0"/>
          <w:numId w:val="25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Objetivos</w:t>
      </w:r>
    </w:p>
    <w:p w14:paraId="0A5B4054" w14:textId="77777777" w:rsidR="00B56B89" w:rsidRPr="00B26CE5" w:rsidRDefault="00B56B89" w:rsidP="00B56B89">
      <w:pPr>
        <w:pStyle w:val="Prrafodelista"/>
        <w:numPr>
          <w:ilvl w:val="0"/>
          <w:numId w:val="31"/>
        </w:numPr>
        <w:ind w:left="284" w:right="49" w:hanging="284"/>
        <w:contextualSpacing w:val="0"/>
        <w:jc w:val="both"/>
        <w:rPr>
          <w:rFonts w:ascii="Century Gothic" w:hAnsi="Century Gothic"/>
          <w:sz w:val="22"/>
          <w:szCs w:val="22"/>
          <w:lang w:val="es-CR" w:eastAsia="es-CR"/>
        </w:rPr>
      </w:pPr>
      <w:r w:rsidRPr="00B26CE5">
        <w:rPr>
          <w:rFonts w:ascii="Century Gothic" w:hAnsi="Century Gothic"/>
          <w:sz w:val="22"/>
          <w:szCs w:val="22"/>
          <w:lang w:val="es-CR" w:eastAsia="es-CR"/>
        </w:rPr>
        <w:t>Verificar el control interno en la gestión de solicitudes de recursos de revocatoria con apelación del RTR.</w:t>
      </w:r>
    </w:p>
    <w:p w14:paraId="69BF887E" w14:textId="77777777" w:rsidR="00B56B89" w:rsidRPr="00B26CE5" w:rsidRDefault="00B56B89" w:rsidP="00B56B89">
      <w:pPr>
        <w:pStyle w:val="Prrafodelista"/>
        <w:ind w:left="284" w:right="49"/>
        <w:jc w:val="both"/>
        <w:rPr>
          <w:rFonts w:ascii="Century Gothic" w:hAnsi="Century Gothic"/>
          <w:sz w:val="18"/>
          <w:szCs w:val="18"/>
          <w:lang w:val="es-CR" w:eastAsia="es-CR"/>
        </w:rPr>
      </w:pPr>
    </w:p>
    <w:p w14:paraId="73E42987" w14:textId="77777777" w:rsidR="00B56B89" w:rsidRPr="00B26CE5" w:rsidRDefault="00B56B89" w:rsidP="00B56B89">
      <w:pPr>
        <w:pStyle w:val="Prrafodelista"/>
        <w:numPr>
          <w:ilvl w:val="0"/>
          <w:numId w:val="31"/>
        </w:numPr>
        <w:ind w:left="284" w:right="49" w:hanging="284"/>
        <w:contextualSpacing w:val="0"/>
        <w:jc w:val="both"/>
        <w:rPr>
          <w:rFonts w:ascii="Century Gothic" w:hAnsi="Century Gothic"/>
          <w:sz w:val="22"/>
          <w:szCs w:val="22"/>
          <w:lang w:val="es-CR" w:eastAsia="es-CR"/>
        </w:rPr>
      </w:pPr>
      <w:r w:rsidRPr="00B26CE5">
        <w:rPr>
          <w:rFonts w:ascii="Century Gothic" w:hAnsi="Century Gothic"/>
          <w:sz w:val="22"/>
          <w:szCs w:val="22"/>
          <w:lang w:val="es-CR" w:eastAsia="es-CR"/>
        </w:rPr>
        <w:t>Comprobar el cumplimiento de la normativa aplicable relacionada con este tema.</w:t>
      </w:r>
    </w:p>
    <w:p w14:paraId="131A257E" w14:textId="77777777" w:rsidR="00B56B89" w:rsidRPr="000D5AF7" w:rsidRDefault="00B56B89" w:rsidP="00B56B89">
      <w:pPr>
        <w:spacing w:after="0" w:line="240" w:lineRule="auto"/>
        <w:ind w:right="471"/>
        <w:rPr>
          <w:rFonts w:ascii="Century Gothic" w:hAnsi="Century Gothic"/>
          <w:b/>
        </w:rPr>
      </w:pPr>
    </w:p>
    <w:p w14:paraId="6D1D1994" w14:textId="77777777" w:rsidR="00B56B89" w:rsidRPr="000D5AF7" w:rsidRDefault="00B56B89" w:rsidP="00B56B89">
      <w:pPr>
        <w:spacing w:after="0" w:line="240" w:lineRule="auto"/>
        <w:ind w:right="471"/>
        <w:rPr>
          <w:rFonts w:ascii="Century Gothic" w:hAnsi="Century Gothic"/>
          <w:b/>
        </w:rPr>
      </w:pPr>
    </w:p>
    <w:p w14:paraId="106B358F" w14:textId="77777777" w:rsidR="00B56B89" w:rsidRPr="00B26CE5" w:rsidRDefault="00B56B89" w:rsidP="00B56B89">
      <w:pPr>
        <w:numPr>
          <w:ilvl w:val="0"/>
          <w:numId w:val="25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Resultados Obtenidos</w:t>
      </w:r>
    </w:p>
    <w:p w14:paraId="7BF26CE9" w14:textId="77777777" w:rsidR="00B56B89" w:rsidRPr="00B26CE5" w:rsidRDefault="00B56B89" w:rsidP="00B56B89">
      <w:pPr>
        <w:spacing w:after="0" w:line="240" w:lineRule="auto"/>
        <w:jc w:val="both"/>
        <w:rPr>
          <w:rFonts w:ascii="Century Gothic" w:hAnsi="Century Gothic"/>
          <w:iCs/>
          <w:lang w:val="es-MX"/>
        </w:rPr>
      </w:pPr>
      <w:r w:rsidRPr="00B26CE5">
        <w:rPr>
          <w:rFonts w:ascii="Century Gothic" w:hAnsi="Century Gothic"/>
          <w:iCs/>
          <w:lang w:val="es-MX"/>
        </w:rPr>
        <w:t>De conformidad con los objetivos planteados para esta revisión, se concluye lo siguiente:</w:t>
      </w:r>
    </w:p>
    <w:p w14:paraId="1E492F2B" w14:textId="77777777" w:rsidR="00B56B89" w:rsidRPr="00B26CE5" w:rsidRDefault="00B56B89" w:rsidP="00B56B89">
      <w:pPr>
        <w:spacing w:after="0" w:line="240" w:lineRule="auto"/>
        <w:jc w:val="both"/>
        <w:rPr>
          <w:rFonts w:ascii="Century Gothic" w:hAnsi="Century Gothic"/>
          <w:iCs/>
          <w:sz w:val="18"/>
          <w:szCs w:val="18"/>
          <w:lang w:val="es-MX"/>
        </w:rPr>
      </w:pPr>
    </w:p>
    <w:p w14:paraId="78A3364C" w14:textId="77777777" w:rsidR="00B56B89" w:rsidRPr="00B26CE5" w:rsidRDefault="00B56B89" w:rsidP="00B56B89">
      <w:pPr>
        <w:pStyle w:val="Prrafodelista"/>
        <w:numPr>
          <w:ilvl w:val="0"/>
          <w:numId w:val="33"/>
        </w:numPr>
        <w:ind w:right="49"/>
        <w:jc w:val="both"/>
        <w:rPr>
          <w:rFonts w:ascii="Century Gothic" w:hAnsi="Century Gothic"/>
          <w:sz w:val="22"/>
          <w:szCs w:val="22"/>
        </w:rPr>
      </w:pPr>
      <w:r w:rsidRPr="00B26CE5">
        <w:rPr>
          <w:rFonts w:ascii="Century Gothic" w:hAnsi="Century Gothic"/>
          <w:sz w:val="22"/>
          <w:szCs w:val="22"/>
        </w:rPr>
        <w:t xml:space="preserve">Para verificar el control interno </w:t>
      </w:r>
      <w:r w:rsidRPr="00B26CE5">
        <w:rPr>
          <w:rFonts w:ascii="Century Gothic" w:hAnsi="Century Gothic"/>
          <w:sz w:val="22"/>
          <w:szCs w:val="22"/>
          <w:lang w:val="es-CR" w:eastAsia="es-CR"/>
        </w:rPr>
        <w:t>en la gestión de solicitudes de recursos de revocatoria con apelación del RTR</w:t>
      </w:r>
      <w:r w:rsidRPr="00B26CE5">
        <w:rPr>
          <w:rFonts w:ascii="Century Gothic" w:hAnsi="Century Gothic"/>
          <w:sz w:val="22"/>
          <w:szCs w:val="22"/>
        </w:rPr>
        <w:t>, se efectuaron entrevistas, se revisaron expedientes y los procedimientos relacionados con el tema bajo estudio y producto de esto, se determinaron aspectos de mejora en los documentos revisados, se estableció la oportunidad de contar con reportes o herramientas automatizadas para verificar o evaluar las actividades planteadas en el PAO institucional, las cuales se comunicaron a la Administración para su valoración.</w:t>
      </w:r>
    </w:p>
    <w:p w14:paraId="2866EBDC" w14:textId="77777777" w:rsidR="00B56B89" w:rsidRPr="00B26CE5" w:rsidRDefault="00B56B89" w:rsidP="00B56B89">
      <w:pPr>
        <w:pStyle w:val="Prrafodelista"/>
        <w:ind w:right="49"/>
        <w:jc w:val="both"/>
        <w:rPr>
          <w:rFonts w:ascii="Century Gothic" w:hAnsi="Century Gothic"/>
          <w:sz w:val="18"/>
          <w:szCs w:val="18"/>
        </w:rPr>
      </w:pPr>
    </w:p>
    <w:p w14:paraId="0F732048" w14:textId="77777777" w:rsidR="00B56B89" w:rsidRPr="00B26CE5" w:rsidRDefault="00B56B89" w:rsidP="00B56B89">
      <w:pPr>
        <w:pStyle w:val="Prrafodelista"/>
        <w:numPr>
          <w:ilvl w:val="0"/>
          <w:numId w:val="33"/>
        </w:numPr>
        <w:ind w:right="49"/>
        <w:jc w:val="both"/>
        <w:rPr>
          <w:rFonts w:ascii="Century Gothic" w:hAnsi="Century Gothic"/>
          <w:sz w:val="22"/>
          <w:szCs w:val="22"/>
        </w:rPr>
      </w:pPr>
      <w:r w:rsidRPr="00B26CE5">
        <w:rPr>
          <w:rFonts w:ascii="Century Gothic" w:hAnsi="Century Gothic"/>
          <w:sz w:val="22"/>
          <w:szCs w:val="22"/>
        </w:rPr>
        <w:t>Se revisó el cumplimiento de la normativa y no se observaron aspectos a comunicar.</w:t>
      </w:r>
    </w:p>
    <w:p w14:paraId="4EAA16F6" w14:textId="77777777" w:rsidR="00B56B89" w:rsidRDefault="00B56B89" w:rsidP="00B56B89">
      <w:pPr>
        <w:pStyle w:val="Prrafodelista"/>
        <w:rPr>
          <w:rFonts w:ascii="Century Gothic" w:hAnsi="Century Gothic"/>
          <w:sz w:val="22"/>
          <w:szCs w:val="22"/>
        </w:rPr>
      </w:pPr>
    </w:p>
    <w:p w14:paraId="6E3FCD08" w14:textId="77777777" w:rsidR="00B56B89" w:rsidRPr="00B26CE5" w:rsidRDefault="00B56B89" w:rsidP="00B56B89">
      <w:pPr>
        <w:pStyle w:val="Prrafodelista"/>
        <w:rPr>
          <w:rFonts w:ascii="Century Gothic" w:hAnsi="Century Gothic"/>
          <w:sz w:val="22"/>
          <w:szCs w:val="22"/>
        </w:rPr>
      </w:pPr>
    </w:p>
    <w:p w14:paraId="20A99ACD" w14:textId="77777777" w:rsidR="00B56B89" w:rsidRPr="007B7523" w:rsidRDefault="00B56B89" w:rsidP="00B56B89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</w:t>
      </w:r>
      <w:r>
        <w:rPr>
          <w:rFonts w:ascii="Century Gothic" w:hAnsi="Century Gothic"/>
        </w:rPr>
        <w:t>estudio</w:t>
      </w:r>
      <w:r w:rsidRPr="007B7523">
        <w:rPr>
          <w:rFonts w:ascii="Century Gothic" w:hAnsi="Century Gothic"/>
        </w:rPr>
        <w:t xml:space="preserve"> se aprobó en la Sesión Ordinaria No. </w:t>
      </w:r>
      <w:r>
        <w:rPr>
          <w:rFonts w:ascii="Century Gothic" w:hAnsi="Century Gothic"/>
        </w:rPr>
        <w:t>005</w:t>
      </w:r>
      <w:r w:rsidRPr="007B7523">
        <w:rPr>
          <w:rFonts w:ascii="Century Gothic" w:hAnsi="Century Gothic"/>
        </w:rPr>
        <w:t>-202</w:t>
      </w:r>
      <w:r>
        <w:rPr>
          <w:rFonts w:ascii="Century Gothic" w:hAnsi="Century Gothic"/>
        </w:rPr>
        <w:t>1</w:t>
      </w:r>
      <w:r w:rsidRPr="007B7523">
        <w:rPr>
          <w:rFonts w:ascii="Century Gothic" w:hAnsi="Century Gothic"/>
        </w:rPr>
        <w:t xml:space="preserve"> del </w:t>
      </w:r>
      <w:r>
        <w:rPr>
          <w:rFonts w:ascii="Century Gothic" w:hAnsi="Century Gothic"/>
        </w:rPr>
        <w:t>14/01/2021.</w:t>
      </w:r>
    </w:p>
    <w:p w14:paraId="25A47DB8" w14:textId="77777777" w:rsidR="00B56B89" w:rsidRPr="0056678B" w:rsidRDefault="00B56B89" w:rsidP="00B56B89">
      <w:pPr>
        <w:spacing w:after="0" w:line="240" w:lineRule="auto"/>
      </w:pPr>
    </w:p>
    <w:p w14:paraId="3277CE1E" w14:textId="77777777" w:rsidR="00B56B89" w:rsidRPr="0088279B" w:rsidRDefault="00B56B89" w:rsidP="00B56B89"/>
    <w:p w14:paraId="392B194F" w14:textId="77777777" w:rsidR="00B56B89" w:rsidRPr="005A046F" w:rsidRDefault="00B56B89" w:rsidP="00B56B89"/>
    <w:p w14:paraId="4576BF52" w14:textId="77777777" w:rsidR="00B56B89" w:rsidRPr="00C52634" w:rsidRDefault="00B56B89" w:rsidP="00B56B89"/>
    <w:p w14:paraId="77967B89" w14:textId="77777777" w:rsidR="00B56B89" w:rsidRPr="00F43997" w:rsidRDefault="00B56B89" w:rsidP="00B56B89"/>
    <w:p w14:paraId="630E334C" w14:textId="77777777" w:rsidR="00B56B89" w:rsidRPr="00E16ADC" w:rsidRDefault="00B56B89" w:rsidP="00B56B89"/>
    <w:p w14:paraId="32D2E69E" w14:textId="77777777" w:rsidR="00B56B89" w:rsidRPr="00C44F6A" w:rsidRDefault="00B56B89" w:rsidP="00B56B89"/>
    <w:p w14:paraId="5FE6067A" w14:textId="77777777" w:rsidR="00B56B89" w:rsidRPr="0062587B" w:rsidRDefault="00B56B89" w:rsidP="00B56B89"/>
    <w:p w14:paraId="5D703101" w14:textId="495D82B1" w:rsidR="004568BC" w:rsidRPr="00B56B89" w:rsidRDefault="004568BC" w:rsidP="00B56B89"/>
    <w:sectPr w:rsidR="004568BC" w:rsidRPr="00B56B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788"/>
    <w:multiLevelType w:val="hybridMultilevel"/>
    <w:tmpl w:val="48266444"/>
    <w:lvl w:ilvl="0" w:tplc="140A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1D321FD"/>
    <w:multiLevelType w:val="multilevel"/>
    <w:tmpl w:val="E500C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4486A02"/>
    <w:multiLevelType w:val="hybridMultilevel"/>
    <w:tmpl w:val="1E0058D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B52"/>
    <w:multiLevelType w:val="hybridMultilevel"/>
    <w:tmpl w:val="D1648F08"/>
    <w:lvl w:ilvl="0" w:tplc="C90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337DF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445A33"/>
    <w:multiLevelType w:val="hybridMultilevel"/>
    <w:tmpl w:val="236C62C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49C"/>
    <w:multiLevelType w:val="multilevel"/>
    <w:tmpl w:val="93DA8B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E02225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E91BF6"/>
    <w:multiLevelType w:val="hybridMultilevel"/>
    <w:tmpl w:val="62C0EBA8"/>
    <w:lvl w:ilvl="0" w:tplc="313AC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769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A83AB7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9D6008"/>
    <w:multiLevelType w:val="hybridMultilevel"/>
    <w:tmpl w:val="BEE4D3CA"/>
    <w:lvl w:ilvl="0" w:tplc="985CA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382872"/>
    <w:multiLevelType w:val="multilevel"/>
    <w:tmpl w:val="80E8EA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B1F17A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EA17DA"/>
    <w:multiLevelType w:val="hybridMultilevel"/>
    <w:tmpl w:val="8CEA58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B07"/>
    <w:multiLevelType w:val="hybridMultilevel"/>
    <w:tmpl w:val="778009C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51A3"/>
    <w:multiLevelType w:val="hybridMultilevel"/>
    <w:tmpl w:val="478676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751929"/>
    <w:multiLevelType w:val="multilevel"/>
    <w:tmpl w:val="4DA0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703F13"/>
    <w:multiLevelType w:val="hybridMultilevel"/>
    <w:tmpl w:val="DFB6E8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08CD"/>
    <w:multiLevelType w:val="multilevel"/>
    <w:tmpl w:val="EF4866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4"/>
      <w:numFmt w:val="decimal"/>
      <w:isLgl/>
      <w:lvlText w:val="%1.%2."/>
      <w:lvlJc w:val="left"/>
      <w:pPr>
        <w:ind w:left="929" w:hanging="740"/>
      </w:pPr>
      <w:rPr>
        <w:rFonts w:hint="default"/>
        <w:b/>
        <w:i/>
        <w:sz w:val="20"/>
      </w:rPr>
    </w:lvl>
    <w:lvl w:ilvl="2">
      <w:start w:val="3"/>
      <w:numFmt w:val="decimal"/>
      <w:isLgl/>
      <w:lvlText w:val="%1.%2.%3."/>
      <w:lvlJc w:val="left"/>
      <w:pPr>
        <w:ind w:left="1118" w:hanging="740"/>
      </w:pPr>
      <w:rPr>
        <w:rFonts w:hint="default"/>
        <w:b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307" w:hanging="740"/>
      </w:pPr>
      <w:rPr>
        <w:rFonts w:hint="default"/>
        <w:b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  <w:b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b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63" w:hanging="1440"/>
      </w:pPr>
      <w:rPr>
        <w:rFonts w:hint="default"/>
        <w:b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  <w:b/>
        <w:i/>
        <w:sz w:val="20"/>
      </w:rPr>
    </w:lvl>
  </w:abstractNum>
  <w:abstractNum w:abstractNumId="26" w15:restartNumberingAfterBreak="0">
    <w:nsid w:val="696225F4"/>
    <w:multiLevelType w:val="hybridMultilevel"/>
    <w:tmpl w:val="54A0D5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11A3"/>
    <w:multiLevelType w:val="hybridMultilevel"/>
    <w:tmpl w:val="8828D970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E0DC6"/>
    <w:multiLevelType w:val="hybridMultilevel"/>
    <w:tmpl w:val="5D6A0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B47F8D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6C43"/>
    <w:multiLevelType w:val="multilevel"/>
    <w:tmpl w:val="4A9EE26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A417B0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5"/>
  </w:num>
  <w:num w:numId="10">
    <w:abstractNumId w:val="28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32"/>
  </w:num>
  <w:num w:numId="16">
    <w:abstractNumId w:val="17"/>
  </w:num>
  <w:num w:numId="17">
    <w:abstractNumId w:val="24"/>
  </w:num>
  <w:num w:numId="18">
    <w:abstractNumId w:val="20"/>
  </w:num>
  <w:num w:numId="19">
    <w:abstractNumId w:val="3"/>
  </w:num>
  <w:num w:numId="20">
    <w:abstractNumId w:val="29"/>
  </w:num>
  <w:num w:numId="21">
    <w:abstractNumId w:val="21"/>
  </w:num>
  <w:num w:numId="22">
    <w:abstractNumId w:val="22"/>
  </w:num>
  <w:num w:numId="23">
    <w:abstractNumId w:val="27"/>
  </w:num>
  <w:num w:numId="24">
    <w:abstractNumId w:val="26"/>
  </w:num>
  <w:num w:numId="25">
    <w:abstractNumId w:val="14"/>
  </w:num>
  <w:num w:numId="26">
    <w:abstractNumId w:val="18"/>
  </w:num>
  <w:num w:numId="27">
    <w:abstractNumId w:val="9"/>
  </w:num>
  <w:num w:numId="28">
    <w:abstractNumId w:val="6"/>
  </w:num>
  <w:num w:numId="29">
    <w:abstractNumId w:val="13"/>
  </w:num>
  <w:num w:numId="30">
    <w:abstractNumId w:val="31"/>
  </w:num>
  <w:num w:numId="31">
    <w:abstractNumId w:val="1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B"/>
    <w:rsid w:val="0008032A"/>
    <w:rsid w:val="000D5AF7"/>
    <w:rsid w:val="00167401"/>
    <w:rsid w:val="00201ED7"/>
    <w:rsid w:val="002A2A5B"/>
    <w:rsid w:val="002D7B1D"/>
    <w:rsid w:val="004137BB"/>
    <w:rsid w:val="004568BC"/>
    <w:rsid w:val="00492323"/>
    <w:rsid w:val="004D1DCE"/>
    <w:rsid w:val="00521829"/>
    <w:rsid w:val="0056678B"/>
    <w:rsid w:val="005A046F"/>
    <w:rsid w:val="005F243F"/>
    <w:rsid w:val="0062587B"/>
    <w:rsid w:val="007A5F63"/>
    <w:rsid w:val="007B2EB3"/>
    <w:rsid w:val="007F4D65"/>
    <w:rsid w:val="0080454F"/>
    <w:rsid w:val="0088279B"/>
    <w:rsid w:val="00B26CE5"/>
    <w:rsid w:val="00B56B89"/>
    <w:rsid w:val="00C44F6A"/>
    <w:rsid w:val="00C52634"/>
    <w:rsid w:val="00D50944"/>
    <w:rsid w:val="00E16ADC"/>
    <w:rsid w:val="00EF3944"/>
    <w:rsid w:val="00F43997"/>
    <w:rsid w:val="00F63E1E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879C6"/>
  <w15:chartTrackingRefBased/>
  <w15:docId w15:val="{C17DD88D-0701-49FD-B179-66C3657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2A2A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413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basedOn w:val="Fuentedeprrafopredeter"/>
    <w:link w:val="Prrafodelista"/>
    <w:uiPriority w:val="34"/>
    <w:locked/>
    <w:rsid w:val="00413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2A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2A5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5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F4D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F4D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