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8BC99" w14:textId="77777777" w:rsidR="00C44F6A" w:rsidRPr="00B26CE5" w:rsidRDefault="00C44F6A" w:rsidP="00C44F6A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 xml:space="preserve">Estudio No. 32-2020 </w:t>
      </w:r>
    </w:p>
    <w:p w14:paraId="4F582BB2" w14:textId="77777777" w:rsidR="00C44F6A" w:rsidRPr="00B26CE5" w:rsidRDefault="00C44F6A" w:rsidP="00C44F6A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>Revisión de los cambios en el registro contable, por la aplicación del cambio de modelo de negocio según NIIF 9</w:t>
      </w:r>
    </w:p>
    <w:p w14:paraId="04913E02" w14:textId="77777777" w:rsidR="00C44F6A" w:rsidRPr="00B26CE5" w:rsidRDefault="00C44F6A" w:rsidP="00C44F6A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53048D3F" w14:textId="77777777" w:rsidR="00C44F6A" w:rsidRPr="00B26CE5" w:rsidRDefault="00C44F6A" w:rsidP="00C44F6A">
      <w:pPr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Alcance</w:t>
      </w:r>
    </w:p>
    <w:p w14:paraId="70AB7E67" w14:textId="77777777" w:rsidR="00C44F6A" w:rsidRPr="00B26CE5" w:rsidRDefault="00C44F6A" w:rsidP="00C44F6A">
      <w:pPr>
        <w:pStyle w:val="Ttulo4"/>
        <w:spacing w:before="0"/>
        <w:jc w:val="both"/>
        <w:rPr>
          <w:rFonts w:ascii="Century Gothic" w:eastAsia="Times New Roman" w:hAnsi="Century Gothic" w:cs="Times New Roman"/>
          <w:i w:val="0"/>
          <w:iCs w:val="0"/>
          <w:color w:val="auto"/>
          <w:sz w:val="22"/>
          <w:szCs w:val="22"/>
        </w:rPr>
      </w:pPr>
      <w:r w:rsidRPr="00B26CE5">
        <w:rPr>
          <w:rFonts w:ascii="Century Gothic" w:eastAsia="Times New Roman" w:hAnsi="Century Gothic" w:cs="Times New Roman"/>
          <w:i w:val="0"/>
          <w:iCs w:val="0"/>
          <w:color w:val="auto"/>
          <w:sz w:val="22"/>
          <w:szCs w:val="22"/>
        </w:rPr>
        <w:t>La revisión comprende el traslado de los saldos contables de junio a julio 2020, de las cuentas de inversiones del Régimen de Capitalización Colectiva afectadas por el cambio de modelo de negocio.</w:t>
      </w:r>
    </w:p>
    <w:p w14:paraId="7E1D316C" w14:textId="77777777" w:rsidR="00C44F6A" w:rsidRPr="00B26CE5" w:rsidRDefault="00C44F6A" w:rsidP="00C44F6A">
      <w:pPr>
        <w:spacing w:after="0" w:line="240" w:lineRule="auto"/>
      </w:pPr>
    </w:p>
    <w:p w14:paraId="40FDEDC0" w14:textId="77777777" w:rsidR="00C44F6A" w:rsidRPr="00B26CE5" w:rsidRDefault="00C44F6A" w:rsidP="00C44F6A">
      <w:pPr>
        <w:tabs>
          <w:tab w:val="left" w:pos="360"/>
        </w:tabs>
        <w:spacing w:after="0" w:line="240" w:lineRule="auto"/>
        <w:ind w:left="720"/>
        <w:jc w:val="both"/>
        <w:rPr>
          <w:rFonts w:ascii="Century Gothic" w:hAnsi="Century Gothic"/>
          <w:b/>
        </w:rPr>
      </w:pPr>
    </w:p>
    <w:p w14:paraId="6896BFC8" w14:textId="77777777" w:rsidR="00C44F6A" w:rsidRPr="00B26CE5" w:rsidRDefault="00C44F6A" w:rsidP="00C44F6A">
      <w:pPr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Objetivo</w:t>
      </w:r>
    </w:p>
    <w:p w14:paraId="7A483E1C" w14:textId="77777777" w:rsidR="00C44F6A" w:rsidRPr="00B26CE5" w:rsidRDefault="00C44F6A" w:rsidP="00C44F6A">
      <w:pPr>
        <w:pStyle w:val="Textoindependiente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>Para efectuar esta revisión, se definió el siguiente objetivo:</w:t>
      </w:r>
    </w:p>
    <w:p w14:paraId="4083ABF0" w14:textId="77777777" w:rsidR="00C44F6A" w:rsidRPr="000D5AF7" w:rsidRDefault="00C44F6A" w:rsidP="00C44F6A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1667E218" w14:textId="77777777" w:rsidR="00C44F6A" w:rsidRPr="00B26CE5" w:rsidRDefault="00C44F6A" w:rsidP="00C44F6A">
      <w:pPr>
        <w:pStyle w:val="Textoindependiente"/>
        <w:numPr>
          <w:ilvl w:val="0"/>
          <w:numId w:val="32"/>
        </w:numPr>
        <w:ind w:left="284" w:hanging="284"/>
        <w:rPr>
          <w:rFonts w:ascii="Century Gothic" w:hAnsi="Century Gothic"/>
          <w:color w:val="auto"/>
          <w:sz w:val="22"/>
          <w:szCs w:val="22"/>
        </w:rPr>
      </w:pPr>
      <w:r w:rsidRPr="00B26CE5">
        <w:rPr>
          <w:rFonts w:ascii="Century Gothic" w:hAnsi="Century Gothic"/>
          <w:color w:val="auto"/>
          <w:sz w:val="22"/>
          <w:szCs w:val="22"/>
        </w:rPr>
        <w:t>Verificar el traslado de los saldos contables de junio a julio 2020, de las partidas de inversiones del RCC afectadas por el cambio de modelo de negocio, de acuerdo con la normativa vigente.</w:t>
      </w:r>
    </w:p>
    <w:p w14:paraId="2A596645" w14:textId="77777777" w:rsidR="00C44F6A" w:rsidRPr="00B26CE5" w:rsidRDefault="00C44F6A" w:rsidP="00C44F6A">
      <w:pPr>
        <w:spacing w:after="0" w:line="240" w:lineRule="auto"/>
        <w:ind w:left="426"/>
        <w:jc w:val="both"/>
        <w:rPr>
          <w:rFonts w:ascii="Century Gothic" w:hAnsi="Century Gothic"/>
          <w:b/>
        </w:rPr>
      </w:pPr>
    </w:p>
    <w:p w14:paraId="42B53DB5" w14:textId="77777777" w:rsidR="00C44F6A" w:rsidRPr="00B26CE5" w:rsidRDefault="00C44F6A" w:rsidP="00C44F6A">
      <w:pPr>
        <w:spacing w:after="0" w:line="240" w:lineRule="auto"/>
        <w:ind w:left="426"/>
        <w:jc w:val="both"/>
        <w:rPr>
          <w:rFonts w:ascii="Century Gothic" w:hAnsi="Century Gothic"/>
          <w:b/>
        </w:rPr>
      </w:pPr>
    </w:p>
    <w:p w14:paraId="3E0D1E06" w14:textId="77777777" w:rsidR="00C44F6A" w:rsidRPr="00B26CE5" w:rsidRDefault="00C44F6A" w:rsidP="00C44F6A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Resultados obtenidos</w:t>
      </w:r>
    </w:p>
    <w:p w14:paraId="18459AC8" w14:textId="77777777" w:rsidR="00C44F6A" w:rsidRPr="00B26CE5" w:rsidRDefault="00C44F6A" w:rsidP="00C44F6A">
      <w:pPr>
        <w:pStyle w:val="Textoindependiente"/>
        <w:ind w:right="49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De conformidad con el objetivo propuesto para esta revisión: </w:t>
      </w:r>
    </w:p>
    <w:p w14:paraId="414FB2E3" w14:textId="77777777" w:rsidR="00C44F6A" w:rsidRPr="00B26CE5" w:rsidRDefault="00C44F6A" w:rsidP="00C44F6A">
      <w:pPr>
        <w:pStyle w:val="Textoindependiente"/>
        <w:ind w:right="49"/>
        <w:rPr>
          <w:rFonts w:ascii="Century Gothic" w:hAnsi="Century Gothic" w:cs="Times New Roman"/>
          <w:color w:val="auto"/>
          <w:sz w:val="22"/>
          <w:szCs w:val="22"/>
        </w:rPr>
      </w:pPr>
    </w:p>
    <w:p w14:paraId="298E8C34" w14:textId="77777777" w:rsidR="00C44F6A" w:rsidRPr="00B26CE5" w:rsidRDefault="00C44F6A" w:rsidP="00C44F6A">
      <w:pPr>
        <w:pStyle w:val="Textoindependiente"/>
        <w:numPr>
          <w:ilvl w:val="0"/>
          <w:numId w:val="18"/>
        </w:numPr>
        <w:ind w:right="49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Para verificar el traslado de los saldos contables de junio a julio 2020, de las cuentas de Inversiones en Instrumentos Financieros y </w:t>
      </w:r>
      <w:r w:rsidRPr="00B26CE5">
        <w:rPr>
          <w:rFonts w:ascii="Century Gothic" w:hAnsi="Century Gothic"/>
          <w:color w:val="auto"/>
          <w:sz w:val="22"/>
          <w:szCs w:val="22"/>
        </w:rPr>
        <w:t>de la cartera de créditos</w:t>
      </w:r>
      <w:r w:rsidRPr="00B26CE5">
        <w:rPr>
          <w:rFonts w:ascii="Century Gothic" w:hAnsi="Century Gothic" w:cs="Times New Roman"/>
          <w:color w:val="auto"/>
          <w:sz w:val="22"/>
          <w:szCs w:val="22"/>
        </w:rPr>
        <w:t>, se revisó:</w:t>
      </w:r>
    </w:p>
    <w:p w14:paraId="5CA56348" w14:textId="77777777" w:rsidR="00C44F6A" w:rsidRPr="00B26CE5" w:rsidRDefault="00C44F6A" w:rsidP="00C44F6A">
      <w:pPr>
        <w:pStyle w:val="Textoindependiente"/>
        <w:ind w:right="49"/>
        <w:rPr>
          <w:rFonts w:ascii="Century Gothic" w:hAnsi="Century Gothic" w:cs="Times New Roman"/>
          <w:color w:val="auto"/>
          <w:sz w:val="22"/>
          <w:szCs w:val="22"/>
        </w:rPr>
      </w:pPr>
    </w:p>
    <w:p w14:paraId="4FDEAA6E" w14:textId="77777777" w:rsidR="00C44F6A" w:rsidRPr="00B26CE5" w:rsidRDefault="00C44F6A" w:rsidP="00C44F6A">
      <w:pPr>
        <w:pStyle w:val="Textoindependiente"/>
        <w:numPr>
          <w:ilvl w:val="0"/>
          <w:numId w:val="19"/>
        </w:numPr>
        <w:ind w:left="1418" w:right="49" w:hanging="425"/>
        <w:rPr>
          <w:rFonts w:ascii="Century Gothic" w:hAnsi="Century Gothic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>El plan de cuentas del RCC conforme los lineamientos de la SUPEN, consignados en el oficio SP-A-210-2019.</w:t>
      </w:r>
    </w:p>
    <w:p w14:paraId="2C3D1FAB" w14:textId="77777777" w:rsidR="00C44F6A" w:rsidRPr="000D5AF7" w:rsidRDefault="00C44F6A" w:rsidP="00C44F6A">
      <w:pPr>
        <w:pStyle w:val="Textoindependiente"/>
        <w:ind w:left="1418" w:right="49" w:hanging="425"/>
        <w:rPr>
          <w:rFonts w:ascii="Century Gothic" w:hAnsi="Century Gothic"/>
          <w:color w:val="auto"/>
          <w:sz w:val="16"/>
          <w:szCs w:val="16"/>
        </w:rPr>
      </w:pPr>
    </w:p>
    <w:p w14:paraId="3FF4B791" w14:textId="77777777" w:rsidR="00C44F6A" w:rsidRPr="00B26CE5" w:rsidRDefault="00C44F6A" w:rsidP="00C44F6A">
      <w:pPr>
        <w:pStyle w:val="Textoindependiente"/>
        <w:numPr>
          <w:ilvl w:val="0"/>
          <w:numId w:val="19"/>
        </w:numPr>
        <w:ind w:left="1418" w:right="49" w:hanging="425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 xml:space="preserve">Los ajustes para el registro de los instrumentos financieros de JUPEMA producto del cambio de modelo de negocio. </w:t>
      </w:r>
    </w:p>
    <w:p w14:paraId="2A33045A" w14:textId="77777777" w:rsidR="00C44F6A" w:rsidRPr="000D5AF7" w:rsidRDefault="00C44F6A" w:rsidP="00C44F6A">
      <w:pPr>
        <w:pStyle w:val="Prrafodelista"/>
        <w:ind w:left="1418" w:hanging="425"/>
        <w:rPr>
          <w:rFonts w:ascii="Century Gothic" w:hAnsi="Century Gothic"/>
          <w:sz w:val="16"/>
          <w:szCs w:val="16"/>
        </w:rPr>
      </w:pPr>
    </w:p>
    <w:p w14:paraId="023ABFE6" w14:textId="77777777" w:rsidR="00C44F6A" w:rsidRPr="00B26CE5" w:rsidRDefault="00C44F6A" w:rsidP="00C44F6A">
      <w:pPr>
        <w:pStyle w:val="Textoindependiente"/>
        <w:numPr>
          <w:ilvl w:val="0"/>
          <w:numId w:val="19"/>
        </w:numPr>
        <w:ind w:left="1418" w:right="49" w:hanging="425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>La separación de los instrumentos financieros de la Institución por tipo de inversión.</w:t>
      </w:r>
    </w:p>
    <w:p w14:paraId="22E08DCF" w14:textId="77777777" w:rsidR="00C44F6A" w:rsidRPr="00B26CE5" w:rsidRDefault="00C44F6A" w:rsidP="00C44F6A">
      <w:pPr>
        <w:pStyle w:val="Prrafodelista"/>
        <w:rPr>
          <w:rFonts w:ascii="Century Gothic" w:hAnsi="Century Gothic"/>
          <w:sz w:val="22"/>
          <w:szCs w:val="22"/>
        </w:rPr>
      </w:pPr>
    </w:p>
    <w:p w14:paraId="1BACFAF9" w14:textId="77777777" w:rsidR="00C44F6A" w:rsidRPr="00B26CE5" w:rsidRDefault="00C44F6A" w:rsidP="00C44F6A">
      <w:pPr>
        <w:pStyle w:val="Textoindependiente"/>
        <w:ind w:right="49" w:firstLine="709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>Y se determinaron resultados satisfactorios.</w:t>
      </w:r>
    </w:p>
    <w:p w14:paraId="5624D27C" w14:textId="77777777" w:rsidR="00C44F6A" w:rsidRPr="00B26CE5" w:rsidRDefault="00C44F6A" w:rsidP="00C44F6A">
      <w:pPr>
        <w:pStyle w:val="Textoindependiente"/>
        <w:ind w:left="360" w:right="49"/>
        <w:rPr>
          <w:rFonts w:ascii="Century Gothic" w:hAnsi="Century Gothic" w:cs="Times New Roman"/>
          <w:color w:val="auto"/>
          <w:sz w:val="22"/>
          <w:szCs w:val="22"/>
        </w:rPr>
      </w:pPr>
    </w:p>
    <w:p w14:paraId="5DABC972" w14:textId="77777777" w:rsidR="00C44F6A" w:rsidRPr="00B26CE5" w:rsidRDefault="00C44F6A" w:rsidP="00C44F6A">
      <w:pPr>
        <w:pStyle w:val="Textoindependiente"/>
        <w:numPr>
          <w:ilvl w:val="0"/>
          <w:numId w:val="9"/>
        </w:numPr>
        <w:ind w:left="720" w:right="49"/>
        <w:rPr>
          <w:rFonts w:ascii="Century Gothic" w:hAnsi="Century Gothic" w:cs="Times New Roman"/>
          <w:color w:val="auto"/>
          <w:sz w:val="22"/>
          <w:szCs w:val="22"/>
        </w:rPr>
      </w:pPr>
      <w:r w:rsidRPr="00B26CE5">
        <w:rPr>
          <w:rFonts w:ascii="Century Gothic" w:hAnsi="Century Gothic" w:cs="Times New Roman"/>
          <w:color w:val="auto"/>
          <w:sz w:val="22"/>
          <w:szCs w:val="22"/>
        </w:rPr>
        <w:t>Se revisó el cumplimiento de la normativa interna, determinándose</w:t>
      </w:r>
      <w:r w:rsidRPr="00B26CE5">
        <w:rPr>
          <w:color w:val="auto"/>
        </w:rPr>
        <w:t xml:space="preserve"> </w:t>
      </w:r>
      <w:r w:rsidRPr="00B26CE5">
        <w:rPr>
          <w:rFonts w:ascii="Century Gothic" w:hAnsi="Century Gothic" w:cs="Times New Roman"/>
          <w:color w:val="auto"/>
          <w:sz w:val="22"/>
          <w:szCs w:val="22"/>
        </w:rPr>
        <w:t>una oportunidad de mejora, que fue comunicada a la administración.</w:t>
      </w:r>
    </w:p>
    <w:p w14:paraId="225BF18F" w14:textId="77777777" w:rsidR="00C44F6A" w:rsidRDefault="00C44F6A" w:rsidP="00C44F6A">
      <w:pPr>
        <w:pStyle w:val="Textoindependiente"/>
        <w:ind w:right="266"/>
        <w:rPr>
          <w:rFonts w:ascii="Century Gothic" w:hAnsi="Century Gothic" w:cs="Times New Roman"/>
          <w:color w:val="auto"/>
          <w:sz w:val="22"/>
          <w:szCs w:val="22"/>
        </w:rPr>
      </w:pPr>
    </w:p>
    <w:p w14:paraId="3C4EB7F1" w14:textId="77777777" w:rsidR="00C44F6A" w:rsidRDefault="00C44F6A" w:rsidP="00C44F6A">
      <w:pPr>
        <w:pStyle w:val="Textoindependiente"/>
        <w:ind w:right="266"/>
        <w:rPr>
          <w:rFonts w:ascii="Century Gothic" w:hAnsi="Century Gothic" w:cs="Times New Roman"/>
          <w:color w:val="auto"/>
          <w:sz w:val="22"/>
          <w:szCs w:val="22"/>
        </w:rPr>
      </w:pPr>
    </w:p>
    <w:p w14:paraId="32F36CD9" w14:textId="77777777" w:rsidR="00C44F6A" w:rsidRPr="007B7523" w:rsidRDefault="00C44F6A" w:rsidP="00C44F6A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informe</w:t>
      </w:r>
      <w:r w:rsidRPr="007B7523">
        <w:rPr>
          <w:rFonts w:ascii="Century Gothic" w:hAnsi="Century Gothic"/>
        </w:rPr>
        <w:t xml:space="preserve"> se aprobó en la Sesión Ordinaria No. </w:t>
      </w:r>
      <w:r>
        <w:rPr>
          <w:rFonts w:ascii="Century Gothic" w:hAnsi="Century Gothic"/>
        </w:rPr>
        <w:t>004</w:t>
      </w:r>
      <w:r w:rsidRPr="007B7523">
        <w:rPr>
          <w:rFonts w:ascii="Century Gothic" w:hAnsi="Century Gothic"/>
        </w:rPr>
        <w:t>-202</w:t>
      </w:r>
      <w:r>
        <w:rPr>
          <w:rFonts w:ascii="Century Gothic" w:hAnsi="Century Gothic"/>
        </w:rPr>
        <w:t>1</w:t>
      </w:r>
      <w:r w:rsidRPr="007B7523">
        <w:rPr>
          <w:rFonts w:ascii="Century Gothic" w:hAnsi="Century Gothic"/>
        </w:rPr>
        <w:t xml:space="preserve"> del </w:t>
      </w:r>
      <w:r>
        <w:rPr>
          <w:rFonts w:ascii="Century Gothic" w:hAnsi="Century Gothic"/>
        </w:rPr>
        <w:t>13/01/2021.</w:t>
      </w:r>
    </w:p>
    <w:p w14:paraId="3FA38192" w14:textId="77777777" w:rsidR="00C44F6A" w:rsidRPr="0056678B" w:rsidRDefault="00C44F6A" w:rsidP="00C44F6A">
      <w:pPr>
        <w:pStyle w:val="Textoindependiente"/>
        <w:ind w:right="266"/>
        <w:rPr>
          <w:rFonts w:ascii="Century Gothic" w:hAnsi="Century Gothic" w:cs="Times New Roman"/>
          <w:color w:val="auto"/>
          <w:sz w:val="22"/>
          <w:szCs w:val="22"/>
          <w:lang w:val="es-CR"/>
        </w:rPr>
      </w:pPr>
    </w:p>
    <w:p w14:paraId="7EAE957A" w14:textId="77777777" w:rsidR="00C44F6A" w:rsidRPr="00B26CE5" w:rsidRDefault="00C44F6A" w:rsidP="00C44F6A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val="es-ES" w:eastAsia="es-CR"/>
        </w:rPr>
      </w:pPr>
    </w:p>
    <w:p w14:paraId="0AA9688D" w14:textId="015CAEE1" w:rsidR="00C44F6A" w:rsidRPr="00B26CE5" w:rsidRDefault="00C44F6A" w:rsidP="00C44F6A">
      <w:pPr>
        <w:rPr>
          <w:rFonts w:ascii="Century Gothic" w:eastAsia="Times New Roman" w:hAnsi="Century Gothic" w:cs="Calibri"/>
          <w:b/>
          <w:bCs/>
          <w:lang w:eastAsia="es-CR"/>
        </w:rPr>
      </w:pPr>
    </w:p>
    <w:sectPr w:rsidR="00C44F6A" w:rsidRPr="00B26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88"/>
    <w:multiLevelType w:val="hybridMultilevel"/>
    <w:tmpl w:val="48266444"/>
    <w:lvl w:ilvl="0" w:tplc="140A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1D321FD"/>
    <w:multiLevelType w:val="multilevel"/>
    <w:tmpl w:val="E500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4486A02"/>
    <w:multiLevelType w:val="hybridMultilevel"/>
    <w:tmpl w:val="1E0058D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B52"/>
    <w:multiLevelType w:val="hybridMultilevel"/>
    <w:tmpl w:val="D1648F08"/>
    <w:lvl w:ilvl="0" w:tplc="C90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7DF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445A33"/>
    <w:multiLevelType w:val="hybridMultilevel"/>
    <w:tmpl w:val="236C62C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49C"/>
    <w:multiLevelType w:val="multilevel"/>
    <w:tmpl w:val="93DA8B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E02225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E91BF6"/>
    <w:multiLevelType w:val="hybridMultilevel"/>
    <w:tmpl w:val="62C0EBA8"/>
    <w:lvl w:ilvl="0" w:tplc="313AC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769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A83AB7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D6008"/>
    <w:multiLevelType w:val="hybridMultilevel"/>
    <w:tmpl w:val="BEE4D3CA"/>
    <w:lvl w:ilvl="0" w:tplc="985CA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82872"/>
    <w:multiLevelType w:val="multilevel"/>
    <w:tmpl w:val="80E8EA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1F17A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EA17DA"/>
    <w:multiLevelType w:val="hybridMultilevel"/>
    <w:tmpl w:val="8CEA58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B07"/>
    <w:multiLevelType w:val="hybridMultilevel"/>
    <w:tmpl w:val="778009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1A3"/>
    <w:multiLevelType w:val="hybridMultilevel"/>
    <w:tmpl w:val="478676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751929"/>
    <w:multiLevelType w:val="multilevel"/>
    <w:tmpl w:val="4DA0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03F13"/>
    <w:multiLevelType w:val="hybridMultilevel"/>
    <w:tmpl w:val="DFB6E8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08CD"/>
    <w:multiLevelType w:val="multilevel"/>
    <w:tmpl w:val="EF4866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4"/>
      <w:numFmt w:val="decimal"/>
      <w:isLgl/>
      <w:lvlText w:val="%1.%2."/>
      <w:lvlJc w:val="left"/>
      <w:pPr>
        <w:ind w:left="929" w:hanging="740"/>
      </w:pPr>
      <w:rPr>
        <w:rFonts w:hint="default"/>
        <w:b/>
        <w:i/>
        <w:sz w:val="20"/>
      </w:rPr>
    </w:lvl>
    <w:lvl w:ilvl="2">
      <w:start w:val="3"/>
      <w:numFmt w:val="decimal"/>
      <w:isLgl/>
      <w:lvlText w:val="%1.%2.%3."/>
      <w:lvlJc w:val="left"/>
      <w:pPr>
        <w:ind w:left="1118" w:hanging="740"/>
      </w:pPr>
      <w:rPr>
        <w:rFonts w:hint="default"/>
        <w:b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307" w:hanging="740"/>
      </w:pPr>
      <w:rPr>
        <w:rFonts w:hint="default"/>
        <w:b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  <w:b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  <w:rPr>
        <w:rFonts w:hint="default"/>
        <w:b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  <w:b/>
        <w:i/>
        <w:sz w:val="20"/>
      </w:rPr>
    </w:lvl>
  </w:abstractNum>
  <w:abstractNum w:abstractNumId="26" w15:restartNumberingAfterBreak="0">
    <w:nsid w:val="696225F4"/>
    <w:multiLevelType w:val="hybridMultilevel"/>
    <w:tmpl w:val="54A0D5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11A3"/>
    <w:multiLevelType w:val="hybridMultilevel"/>
    <w:tmpl w:val="8828D970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E0DC6"/>
    <w:multiLevelType w:val="hybridMultilevel"/>
    <w:tmpl w:val="5D6A0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B47F8D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6C43"/>
    <w:multiLevelType w:val="multilevel"/>
    <w:tmpl w:val="4A9EE2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417B0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5"/>
  </w:num>
  <w:num w:numId="10">
    <w:abstractNumId w:val="28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32"/>
  </w:num>
  <w:num w:numId="16">
    <w:abstractNumId w:val="17"/>
  </w:num>
  <w:num w:numId="17">
    <w:abstractNumId w:val="24"/>
  </w:num>
  <w:num w:numId="18">
    <w:abstractNumId w:val="20"/>
  </w:num>
  <w:num w:numId="19">
    <w:abstractNumId w:val="3"/>
  </w:num>
  <w:num w:numId="20">
    <w:abstractNumId w:val="29"/>
  </w:num>
  <w:num w:numId="21">
    <w:abstractNumId w:val="21"/>
  </w:num>
  <w:num w:numId="22">
    <w:abstractNumId w:val="22"/>
  </w:num>
  <w:num w:numId="23">
    <w:abstractNumId w:val="27"/>
  </w:num>
  <w:num w:numId="24">
    <w:abstractNumId w:val="26"/>
  </w:num>
  <w:num w:numId="25">
    <w:abstractNumId w:val="14"/>
  </w:num>
  <w:num w:numId="26">
    <w:abstractNumId w:val="18"/>
  </w:num>
  <w:num w:numId="27">
    <w:abstractNumId w:val="9"/>
  </w:num>
  <w:num w:numId="28">
    <w:abstractNumId w:val="6"/>
  </w:num>
  <w:num w:numId="29">
    <w:abstractNumId w:val="13"/>
  </w:num>
  <w:num w:numId="30">
    <w:abstractNumId w:val="31"/>
  </w:num>
  <w:num w:numId="31">
    <w:abstractNumId w:val="1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B"/>
    <w:rsid w:val="0008032A"/>
    <w:rsid w:val="000D5AF7"/>
    <w:rsid w:val="00167401"/>
    <w:rsid w:val="00201ED7"/>
    <w:rsid w:val="002A2A5B"/>
    <w:rsid w:val="004137BB"/>
    <w:rsid w:val="00492323"/>
    <w:rsid w:val="004D1DCE"/>
    <w:rsid w:val="00521829"/>
    <w:rsid w:val="0056678B"/>
    <w:rsid w:val="005A046F"/>
    <w:rsid w:val="005F243F"/>
    <w:rsid w:val="007A5F63"/>
    <w:rsid w:val="007B2EB3"/>
    <w:rsid w:val="007F4D65"/>
    <w:rsid w:val="0080454F"/>
    <w:rsid w:val="0088279B"/>
    <w:rsid w:val="00B26CE5"/>
    <w:rsid w:val="00C44F6A"/>
    <w:rsid w:val="00C52634"/>
    <w:rsid w:val="00D50944"/>
    <w:rsid w:val="00E16ADC"/>
    <w:rsid w:val="00F43997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879C6"/>
  <w15:chartTrackingRefBased/>
  <w15:docId w15:val="{C17DD88D-0701-49FD-B179-66C3657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2A2A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413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basedOn w:val="Fuentedeprrafopredeter"/>
    <w:link w:val="Prrafodelista"/>
    <w:uiPriority w:val="34"/>
    <w:locked/>
    <w:rsid w:val="00413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2A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2A5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4D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4D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