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E5062" w14:textId="77777777" w:rsidR="00C52634" w:rsidRPr="00B26CE5" w:rsidRDefault="00C52634" w:rsidP="00C52634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29-2020 </w:t>
      </w:r>
    </w:p>
    <w:p w14:paraId="2AEEB1B8" w14:textId="77777777" w:rsidR="00C52634" w:rsidRPr="00B26CE5" w:rsidRDefault="00C52634" w:rsidP="00C52634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Riesgo Operacional</w:t>
      </w:r>
    </w:p>
    <w:p w14:paraId="2224ABD3" w14:textId="77777777" w:rsidR="00C52634" w:rsidRPr="00B26CE5" w:rsidRDefault="00C52634" w:rsidP="00C52634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73E0782B" w14:textId="77777777" w:rsidR="00C52634" w:rsidRPr="00B26CE5" w:rsidRDefault="00C52634" w:rsidP="00C52634">
      <w:pPr>
        <w:tabs>
          <w:tab w:val="left" w:pos="7168"/>
        </w:tabs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Century Gothic" w:hAnsi="Century Gothic"/>
          <w:b/>
          <w:bCs/>
          <w:lang w:val="es-ES_tradnl"/>
        </w:rPr>
      </w:pPr>
      <w:r w:rsidRPr="00B26CE5">
        <w:rPr>
          <w:rFonts w:ascii="Century Gothic" w:hAnsi="Century Gothic"/>
          <w:b/>
          <w:bCs/>
          <w:lang w:val="es-ES_tradnl"/>
        </w:rPr>
        <w:t>I.   Alcance</w:t>
      </w:r>
    </w:p>
    <w:p w14:paraId="056F0482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left="284" w:right="46"/>
        <w:jc w:val="both"/>
        <w:textAlignment w:val="baseline"/>
        <w:rPr>
          <w:rFonts w:ascii="Century Gothic" w:hAnsi="Century Gothic"/>
          <w:lang w:val="es-ES_tradnl"/>
        </w:rPr>
      </w:pPr>
      <w:r w:rsidRPr="00B26CE5">
        <w:rPr>
          <w:rFonts w:ascii="Century Gothic" w:hAnsi="Century Gothic" w:cs="Century Gothic"/>
        </w:rPr>
        <w:t>Revisión de las actividades desarrolladas por la Unidad Integral de Riesgos en cuando a la identificación, análisis y supervisión de los riesgos operativos registrados en JUPEMA del 01/01/2019 al 30/06/2020.</w:t>
      </w:r>
    </w:p>
    <w:p w14:paraId="0F0C9E82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Century Gothic" w:hAnsi="Century Gothic"/>
          <w:lang w:val="es-ES_tradnl"/>
        </w:rPr>
      </w:pPr>
    </w:p>
    <w:p w14:paraId="7229AC4D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Century Gothic" w:hAnsi="Century Gothic"/>
          <w:lang w:val="es-ES_tradnl"/>
        </w:rPr>
      </w:pPr>
    </w:p>
    <w:p w14:paraId="43C40653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left="284" w:right="46" w:hanging="284"/>
        <w:jc w:val="both"/>
        <w:textAlignment w:val="baseline"/>
        <w:rPr>
          <w:rFonts w:ascii="Century Gothic" w:hAnsi="Century Gothic"/>
          <w:b/>
          <w:bCs/>
          <w:lang w:val="es-ES_tradnl"/>
        </w:rPr>
      </w:pPr>
      <w:r w:rsidRPr="00B26CE5">
        <w:rPr>
          <w:rFonts w:ascii="Century Gothic" w:hAnsi="Century Gothic"/>
          <w:b/>
          <w:bCs/>
          <w:lang w:val="es-ES_tradnl"/>
        </w:rPr>
        <w:t>II. Objetivos</w:t>
      </w:r>
    </w:p>
    <w:p w14:paraId="52337DD6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left="284" w:right="46" w:hanging="284"/>
        <w:jc w:val="both"/>
        <w:textAlignment w:val="baseline"/>
        <w:rPr>
          <w:rFonts w:ascii="Century Gothic" w:hAnsi="Century Gothic"/>
          <w:sz w:val="4"/>
          <w:szCs w:val="20"/>
          <w:lang w:val="es-ES_tradnl"/>
        </w:rPr>
      </w:pPr>
    </w:p>
    <w:p w14:paraId="1C6F52DC" w14:textId="77777777" w:rsidR="00C52634" w:rsidRPr="00B26CE5" w:rsidRDefault="00C52634" w:rsidP="00C52634">
      <w:pPr>
        <w:spacing w:after="0" w:line="240" w:lineRule="auto"/>
        <w:ind w:left="284" w:hanging="284"/>
        <w:jc w:val="both"/>
        <w:rPr>
          <w:rFonts w:ascii="Century Gothic" w:hAnsi="Century Gothic" w:cs="Century Gothic"/>
        </w:rPr>
      </w:pPr>
      <w:r w:rsidRPr="00B26CE5">
        <w:rPr>
          <w:rFonts w:ascii="Century Gothic" w:hAnsi="Century Gothic" w:cs="Century Gothic"/>
        </w:rPr>
        <w:t>1.</w:t>
      </w:r>
      <w:r w:rsidRPr="00B26CE5">
        <w:rPr>
          <w:rFonts w:ascii="Century Gothic" w:hAnsi="Century Gothic" w:cs="Century Gothic"/>
        </w:rPr>
        <w:tab/>
        <w:t>Evaluar el proceso de identificación, evaluación y comunicación del Riesgo Operacional de JUPEMA.</w:t>
      </w:r>
    </w:p>
    <w:p w14:paraId="75CA8CC6" w14:textId="77777777" w:rsidR="00C52634" w:rsidRPr="00B26CE5" w:rsidRDefault="00C52634" w:rsidP="00C52634">
      <w:pPr>
        <w:spacing w:after="0" w:line="240" w:lineRule="auto"/>
        <w:ind w:left="284" w:hanging="284"/>
        <w:jc w:val="both"/>
        <w:rPr>
          <w:rFonts w:ascii="Century Gothic" w:hAnsi="Century Gothic"/>
          <w:lang w:val="es-MX"/>
        </w:rPr>
      </w:pPr>
    </w:p>
    <w:p w14:paraId="76877360" w14:textId="77777777" w:rsidR="00C52634" w:rsidRPr="00B26CE5" w:rsidRDefault="00C52634" w:rsidP="00C52634">
      <w:pPr>
        <w:spacing w:after="0" w:line="240" w:lineRule="auto"/>
        <w:ind w:left="284" w:hanging="284"/>
        <w:jc w:val="both"/>
        <w:rPr>
          <w:rFonts w:ascii="Century Gothic" w:hAnsi="Century Gothic" w:cs="Century Gothic"/>
        </w:rPr>
      </w:pPr>
      <w:r w:rsidRPr="00B26CE5">
        <w:rPr>
          <w:rFonts w:ascii="Century Gothic" w:hAnsi="Century Gothic" w:cs="Century Gothic"/>
        </w:rPr>
        <w:t>2.</w:t>
      </w:r>
      <w:r w:rsidRPr="00B26CE5">
        <w:rPr>
          <w:rFonts w:ascii="Century Gothic" w:hAnsi="Century Gothic" w:cs="Century Gothic"/>
        </w:rPr>
        <w:tab/>
        <w:t>Comprobar el cumplimiento de la normativa interna y externa relacionada con el tema bajo estudio.</w:t>
      </w:r>
    </w:p>
    <w:p w14:paraId="456215FF" w14:textId="77777777" w:rsidR="00C52634" w:rsidRPr="0008032A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Century Gothic" w:hAnsi="Century Gothic"/>
          <w:lang w:val="es-ES_tradnl"/>
        </w:rPr>
      </w:pPr>
    </w:p>
    <w:p w14:paraId="5EF2B5AC" w14:textId="77777777" w:rsidR="00C52634" w:rsidRPr="0008032A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right="46"/>
        <w:jc w:val="both"/>
        <w:textAlignment w:val="baseline"/>
        <w:rPr>
          <w:rFonts w:ascii="Century Gothic" w:hAnsi="Century Gothic"/>
          <w:lang w:val="es-ES_tradnl"/>
        </w:rPr>
      </w:pPr>
    </w:p>
    <w:p w14:paraId="20305FC1" w14:textId="77777777" w:rsidR="00C52634" w:rsidRPr="00B26CE5" w:rsidRDefault="00C52634" w:rsidP="00C52634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B26CE5">
        <w:rPr>
          <w:rFonts w:ascii="Century Gothic" w:hAnsi="Century Gothic"/>
          <w:b/>
          <w:bCs/>
        </w:rPr>
        <w:t>III. Resultados Obtenidos</w:t>
      </w:r>
    </w:p>
    <w:p w14:paraId="7AD62189" w14:textId="77777777" w:rsidR="00C52634" w:rsidRPr="00B26CE5" w:rsidRDefault="00C52634" w:rsidP="00C52634">
      <w:pPr>
        <w:shd w:val="clear" w:color="auto" w:fill="FFFFFF"/>
        <w:spacing w:after="0" w:line="240" w:lineRule="auto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De conformidad con los objetivos planteados para esta revisión, se concluye lo siguiente:</w:t>
      </w:r>
    </w:p>
    <w:p w14:paraId="03D18E58" w14:textId="77777777" w:rsidR="00C52634" w:rsidRPr="00B26CE5" w:rsidRDefault="00C52634" w:rsidP="00C52634">
      <w:pPr>
        <w:spacing w:after="0" w:line="240" w:lineRule="auto"/>
        <w:jc w:val="both"/>
        <w:rPr>
          <w:rFonts w:ascii="Century Gothic" w:hAnsi="Century Gothic"/>
          <w:highlight w:val="yellow"/>
          <w:lang w:val="es-MX"/>
        </w:rPr>
      </w:pPr>
    </w:p>
    <w:p w14:paraId="194E65F7" w14:textId="77777777" w:rsidR="00C52634" w:rsidRPr="00B26CE5" w:rsidRDefault="00C52634" w:rsidP="00C52634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Century Gothic" w:hAnsi="Century Gothic" w:cs="Century Gothic"/>
          <w:sz w:val="22"/>
          <w:szCs w:val="22"/>
        </w:rPr>
      </w:pPr>
      <w:r w:rsidRPr="00B26CE5">
        <w:rPr>
          <w:rFonts w:ascii="Century Gothic" w:hAnsi="Century Gothic" w:cs="Century Gothic"/>
          <w:sz w:val="22"/>
          <w:szCs w:val="22"/>
        </w:rPr>
        <w:t xml:space="preserve">Al </w:t>
      </w:r>
      <w:r w:rsidRPr="00B26CE5">
        <w:rPr>
          <w:rFonts w:ascii="Century Gothic" w:hAnsi="Century Gothic"/>
          <w:sz w:val="22"/>
          <w:szCs w:val="22"/>
        </w:rPr>
        <w:t>revisar</w:t>
      </w:r>
      <w:r w:rsidRPr="00B26CE5">
        <w:rPr>
          <w:rFonts w:ascii="Century Gothic" w:hAnsi="Century Gothic" w:cs="Century Gothic"/>
          <w:sz w:val="22"/>
          <w:szCs w:val="22"/>
        </w:rPr>
        <w:t xml:space="preserve"> el proceso de identificación, evaluación y comunicación del Riesgo Operacional de JUPEMA, se identificaron </w:t>
      </w:r>
      <w:r w:rsidRPr="00B26CE5">
        <w:rPr>
          <w:rFonts w:ascii="Century Gothic" w:hAnsi="Century Gothic"/>
          <w:sz w:val="22"/>
        </w:rPr>
        <w:t>oportunidades de mejora que fueron trasladadas a la Administración para su análisis.</w:t>
      </w:r>
    </w:p>
    <w:p w14:paraId="6FAA7DB5" w14:textId="77777777" w:rsidR="00C52634" w:rsidRPr="00B26CE5" w:rsidRDefault="00C52634" w:rsidP="00C52634">
      <w:pPr>
        <w:overflowPunct w:val="0"/>
        <w:autoSpaceDE w:val="0"/>
        <w:autoSpaceDN w:val="0"/>
        <w:adjustRightInd w:val="0"/>
        <w:spacing w:after="0" w:line="240" w:lineRule="auto"/>
        <w:ind w:left="567" w:right="90" w:hanging="283"/>
        <w:jc w:val="both"/>
        <w:textAlignment w:val="baseline"/>
        <w:rPr>
          <w:rFonts w:ascii="Century Gothic" w:hAnsi="Century Gothic"/>
          <w:bCs/>
          <w:lang w:val="es-ES_tradnl"/>
        </w:rPr>
      </w:pPr>
    </w:p>
    <w:p w14:paraId="7AA585CE" w14:textId="77777777" w:rsidR="00C52634" w:rsidRPr="00B26CE5" w:rsidRDefault="00C52634" w:rsidP="00C52634">
      <w:pPr>
        <w:pStyle w:val="Prrafodelista"/>
        <w:numPr>
          <w:ilvl w:val="0"/>
          <w:numId w:val="11"/>
        </w:numPr>
        <w:shd w:val="clear" w:color="auto" w:fill="FFFFFF"/>
        <w:jc w:val="both"/>
      </w:pPr>
      <w:r w:rsidRPr="00B26CE5">
        <w:rPr>
          <w:rFonts w:ascii="Century Gothic" w:hAnsi="Century Gothic"/>
          <w:bCs/>
          <w:sz w:val="22"/>
          <w:szCs w:val="22"/>
          <w:lang w:val="es-ES_tradnl"/>
        </w:rPr>
        <w:t xml:space="preserve">Para determinar el </w:t>
      </w:r>
      <w:r w:rsidRPr="00B26CE5">
        <w:rPr>
          <w:rFonts w:ascii="Century Gothic" w:hAnsi="Century Gothic"/>
          <w:sz w:val="22"/>
          <w:szCs w:val="22"/>
        </w:rPr>
        <w:t>“Modelo de Madurez sobre la ‘Gestión del Riesgo Operativo’</w:t>
      </w:r>
      <w:r w:rsidRPr="00B26CE5">
        <w:rPr>
          <w:rFonts w:ascii="Century Gothic" w:hAnsi="Century Gothic"/>
          <w:bCs/>
          <w:sz w:val="22"/>
          <w:szCs w:val="22"/>
          <w:lang w:val="es-ES_tradnl"/>
        </w:rPr>
        <w:t xml:space="preserve">, se utilizó el formato elaborado por la Contraloría General de la República </w:t>
      </w:r>
      <w:r w:rsidRPr="00B26CE5">
        <w:rPr>
          <w:rFonts w:ascii="Century Gothic" w:hAnsi="Century Gothic"/>
          <w:sz w:val="22"/>
          <w:szCs w:val="22"/>
        </w:rPr>
        <w:t xml:space="preserve">y de conformidad con los resultados obtenidos, el nivel de madurez en el cual se ubica la Institución es el denominado </w:t>
      </w:r>
      <w:r w:rsidRPr="00B26CE5">
        <w:rPr>
          <w:rFonts w:ascii="Century Gothic" w:hAnsi="Century Gothic"/>
          <w:b/>
          <w:sz w:val="22"/>
          <w:szCs w:val="22"/>
        </w:rPr>
        <w:t>“Diestro”</w:t>
      </w:r>
      <w:r w:rsidRPr="00B26CE5">
        <w:rPr>
          <w:rFonts w:ascii="Century Gothic" w:hAnsi="Century Gothic"/>
          <w:sz w:val="22"/>
          <w:szCs w:val="22"/>
        </w:rPr>
        <w:t xml:space="preserve"> con un promedio general de 63,82 puntos.</w:t>
      </w:r>
      <w:r w:rsidRPr="00B26CE5" w:rsidDel="006C1B4C">
        <w:rPr>
          <w:rFonts w:ascii="Century Gothic" w:hAnsi="Century Gothic"/>
          <w:bCs/>
          <w:sz w:val="22"/>
          <w:szCs w:val="22"/>
          <w:lang w:val="es-ES_tradnl"/>
        </w:rPr>
        <w:t xml:space="preserve"> </w:t>
      </w:r>
    </w:p>
    <w:p w14:paraId="3B0B362F" w14:textId="77777777" w:rsidR="00C52634" w:rsidRPr="00B26CE5" w:rsidRDefault="00C52634" w:rsidP="00C52634">
      <w:pPr>
        <w:pStyle w:val="Prrafodelista"/>
        <w:overflowPunct w:val="0"/>
        <w:autoSpaceDE w:val="0"/>
        <w:autoSpaceDN w:val="0"/>
        <w:adjustRightInd w:val="0"/>
        <w:ind w:left="567" w:right="9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382A76C7" w14:textId="77777777" w:rsidR="00C52634" w:rsidRPr="00B26CE5" w:rsidRDefault="00C52634" w:rsidP="00C52634">
      <w:pPr>
        <w:pStyle w:val="Prrafodelista"/>
        <w:overflowPunct w:val="0"/>
        <w:autoSpaceDE w:val="0"/>
        <w:autoSpaceDN w:val="0"/>
        <w:adjustRightInd w:val="0"/>
        <w:ind w:right="90"/>
        <w:jc w:val="both"/>
        <w:textAlignment w:val="baseline"/>
        <w:rPr>
          <w:rFonts w:ascii="Century Gothic" w:hAnsi="Century Gothic"/>
          <w:b/>
          <w:bCs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</w:rPr>
        <w:t>Sin embargo</w:t>
      </w:r>
      <w:r w:rsidRPr="00B26CE5">
        <w:rPr>
          <w:rFonts w:ascii="Century Gothic" w:hAnsi="Century Gothic"/>
          <w:bCs/>
          <w:sz w:val="22"/>
          <w:szCs w:val="22"/>
        </w:rPr>
        <w:t xml:space="preserve">, </w:t>
      </w:r>
      <w:r w:rsidRPr="00B26CE5">
        <w:rPr>
          <w:rFonts w:ascii="Century Gothic" w:hAnsi="Century Gothic"/>
          <w:sz w:val="22"/>
          <w:szCs w:val="22"/>
        </w:rPr>
        <w:t>existen algunos aspectos que no han superado las condiciones contempladas en los niveles anteriores: Competente y Novato. Lo cual, requiere una atención especial y constante, así como el compromiso de las autoridades superiores y de todos los integrantes de JUPEMA.</w:t>
      </w:r>
    </w:p>
    <w:p w14:paraId="501B71A1" w14:textId="77777777" w:rsidR="00C52634" w:rsidRPr="00B26CE5" w:rsidRDefault="00C52634" w:rsidP="00C52634">
      <w:pPr>
        <w:spacing w:after="0" w:line="240" w:lineRule="auto"/>
        <w:ind w:left="567" w:hanging="283"/>
        <w:jc w:val="both"/>
        <w:rPr>
          <w:rFonts w:ascii="Century Gothic" w:hAnsi="Century Gothic"/>
        </w:rPr>
      </w:pPr>
    </w:p>
    <w:p w14:paraId="47E31650" w14:textId="77777777" w:rsidR="00C52634" w:rsidRPr="00B26CE5" w:rsidRDefault="00C52634" w:rsidP="00C52634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Century Gothic" w:hAnsi="Century Gothic"/>
          <w:sz w:val="20"/>
        </w:rPr>
      </w:pPr>
      <w:r w:rsidRPr="00B26CE5">
        <w:rPr>
          <w:rFonts w:ascii="Century Gothic" w:hAnsi="Century Gothic"/>
        </w:rPr>
        <w:t>Se revisó la normativa relacionada con el proceso bajo estudio, determinándose aspectos de mejora. con respecto al Instructivo ‘</w:t>
      </w:r>
      <w:r w:rsidRPr="00B26CE5">
        <w:rPr>
          <w:rFonts w:ascii="Century Gothic" w:hAnsi="Century Gothic"/>
          <w:bCs/>
        </w:rPr>
        <w:t>Metodología de cálculo de Riesgo Operativo’</w:t>
      </w:r>
      <w:r w:rsidRPr="00B26CE5">
        <w:rPr>
          <w:rFonts w:ascii="Century Gothic" w:hAnsi="Century Gothic"/>
          <w:szCs w:val="20"/>
          <w:lang w:val="es-ES_tradnl"/>
        </w:rPr>
        <w:t>.</w:t>
      </w:r>
    </w:p>
    <w:p w14:paraId="6DDBD952" w14:textId="77777777" w:rsidR="00C52634" w:rsidRDefault="00C52634" w:rsidP="00C52634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262D0BF6" w14:textId="77777777" w:rsidR="00C52634" w:rsidRPr="00B26CE5" w:rsidRDefault="00C52634" w:rsidP="00C52634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2930A8DF" w14:textId="77777777" w:rsidR="00C52634" w:rsidRPr="007B7523" w:rsidRDefault="00C52634" w:rsidP="00C52634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003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12/01/2021.</w:t>
      </w:r>
    </w:p>
    <w:p w14:paraId="4ACB37F2" w14:textId="2A58A88C" w:rsidR="00C52634" w:rsidRPr="00B26CE5" w:rsidRDefault="00C52634" w:rsidP="00C52634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C52634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7A5F63"/>
    <w:rsid w:val="007B2EB3"/>
    <w:rsid w:val="007F4D65"/>
    <w:rsid w:val="0080454F"/>
    <w:rsid w:val="0088279B"/>
    <w:rsid w:val="00B26CE5"/>
    <w:rsid w:val="00C52634"/>
    <w:rsid w:val="00D50944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