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23E4" w14:textId="77777777" w:rsidR="005A046F" w:rsidRPr="00B26CE5" w:rsidRDefault="005A046F" w:rsidP="005A046F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28-2020 </w:t>
      </w:r>
    </w:p>
    <w:p w14:paraId="7912B572" w14:textId="77777777" w:rsidR="005A046F" w:rsidRPr="00B26CE5" w:rsidRDefault="005A046F" w:rsidP="005A046F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Revisión de los Estados Financieros trimestrales del RCC al 30</w:t>
      </w:r>
      <w:r>
        <w:rPr>
          <w:rFonts w:ascii="Century Gothic" w:eastAsia="Times New Roman" w:hAnsi="Century Gothic" w:cs="Calibri"/>
          <w:b/>
          <w:bCs/>
          <w:lang w:eastAsia="es-CR"/>
        </w:rPr>
        <w:t>/</w:t>
      </w:r>
      <w:r w:rsidRPr="002A2A5B">
        <w:rPr>
          <w:rFonts w:ascii="Century Gothic" w:eastAsia="Times New Roman" w:hAnsi="Century Gothic" w:cs="Calibri"/>
          <w:b/>
          <w:bCs/>
          <w:lang w:eastAsia="es-CR"/>
        </w:rPr>
        <w:t>09</w:t>
      </w:r>
      <w:r>
        <w:rPr>
          <w:rFonts w:ascii="Century Gothic" w:eastAsia="Times New Roman" w:hAnsi="Century Gothic" w:cs="Calibri"/>
          <w:b/>
          <w:bCs/>
          <w:lang w:eastAsia="es-CR"/>
        </w:rPr>
        <w:t>/</w:t>
      </w:r>
      <w:r w:rsidRPr="002A2A5B">
        <w:rPr>
          <w:rFonts w:ascii="Century Gothic" w:eastAsia="Times New Roman" w:hAnsi="Century Gothic" w:cs="Calibri"/>
          <w:b/>
          <w:bCs/>
          <w:lang w:eastAsia="es-CR"/>
        </w:rPr>
        <w:t>2020</w:t>
      </w:r>
    </w:p>
    <w:p w14:paraId="5DC7CB87" w14:textId="77777777" w:rsidR="005A046F" w:rsidRPr="00B26CE5" w:rsidRDefault="005A046F" w:rsidP="005A046F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54D7D049" w14:textId="77777777" w:rsidR="005A046F" w:rsidRPr="00B26CE5" w:rsidRDefault="005A046F" w:rsidP="005A046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765E5CFA" w14:textId="77777777" w:rsidR="005A046F" w:rsidRPr="00B26CE5" w:rsidRDefault="005A046F" w:rsidP="005A046F">
      <w:pPr>
        <w:pStyle w:val="Ttulo4"/>
        <w:spacing w:before="0"/>
        <w:jc w:val="both"/>
        <w:rPr>
          <w:rFonts w:ascii="Century Gothic" w:hAnsi="Century Gothic"/>
          <w:i w:val="0"/>
          <w:iCs w:val="0"/>
          <w:color w:val="auto"/>
          <w:sz w:val="22"/>
          <w:szCs w:val="22"/>
        </w:rPr>
      </w:pPr>
      <w:r w:rsidRPr="00B26CE5">
        <w:rPr>
          <w:rFonts w:ascii="Century Gothic" w:hAnsi="Century Gothic"/>
          <w:i w:val="0"/>
          <w:iCs w:val="0"/>
          <w:color w:val="auto"/>
          <w:sz w:val="22"/>
          <w:szCs w:val="22"/>
        </w:rPr>
        <w:t>La revisión comprende la validación de los saldos mostrados en los Estados Financieros del Régimen de Capitalización Colectiva, para el período terminado al 30 de setiembre de 2020.</w:t>
      </w:r>
    </w:p>
    <w:p w14:paraId="1D21E892" w14:textId="77777777" w:rsidR="005A046F" w:rsidRPr="007B2EB3" w:rsidRDefault="005A046F" w:rsidP="005A046F">
      <w:pPr>
        <w:spacing w:after="0" w:line="240" w:lineRule="auto"/>
        <w:rPr>
          <w:rFonts w:ascii="Century Gothic" w:hAnsi="Century Gothic"/>
        </w:rPr>
      </w:pPr>
    </w:p>
    <w:p w14:paraId="38E3E55B" w14:textId="77777777" w:rsidR="005A046F" w:rsidRPr="00B26CE5" w:rsidRDefault="005A046F" w:rsidP="005A046F">
      <w:pPr>
        <w:tabs>
          <w:tab w:val="left" w:pos="360"/>
        </w:tabs>
        <w:spacing w:after="0" w:line="240" w:lineRule="auto"/>
        <w:ind w:left="720"/>
        <w:jc w:val="both"/>
        <w:rPr>
          <w:rFonts w:ascii="Century Gothic" w:hAnsi="Century Gothic"/>
          <w:b/>
        </w:rPr>
      </w:pPr>
    </w:p>
    <w:p w14:paraId="19E2B65E" w14:textId="77777777" w:rsidR="005A046F" w:rsidRPr="00B26CE5" w:rsidRDefault="005A046F" w:rsidP="005A046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297AF39D" w14:textId="77777777" w:rsidR="005A046F" w:rsidRPr="00B26CE5" w:rsidRDefault="005A046F" w:rsidP="005A046F">
      <w:pPr>
        <w:pStyle w:val="Textoindependiente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>Para efectuar esta revisión, se definieron los siguientes objetivos:</w:t>
      </w:r>
    </w:p>
    <w:p w14:paraId="6CE0A21A" w14:textId="77777777" w:rsidR="005A046F" w:rsidRPr="00B26CE5" w:rsidRDefault="005A046F" w:rsidP="005A046F">
      <w:pPr>
        <w:spacing w:after="0" w:line="240" w:lineRule="auto"/>
        <w:jc w:val="both"/>
        <w:rPr>
          <w:rFonts w:ascii="Century Gothic" w:hAnsi="Century Gothic"/>
          <w:b/>
          <w:sz w:val="16"/>
        </w:rPr>
      </w:pPr>
    </w:p>
    <w:p w14:paraId="00B7B802" w14:textId="77777777" w:rsidR="005A046F" w:rsidRPr="00B26CE5" w:rsidRDefault="005A046F" w:rsidP="005A046F">
      <w:pPr>
        <w:pStyle w:val="Textoindependiente"/>
        <w:numPr>
          <w:ilvl w:val="0"/>
          <w:numId w:val="8"/>
        </w:numPr>
        <w:ind w:left="360"/>
        <w:rPr>
          <w:rFonts w:ascii="Century Gothic" w:hAnsi="Century Gothic"/>
          <w:color w:val="auto"/>
          <w:sz w:val="22"/>
          <w:szCs w:val="22"/>
        </w:rPr>
      </w:pPr>
      <w:r w:rsidRPr="00B26CE5">
        <w:rPr>
          <w:rFonts w:ascii="Century Gothic" w:hAnsi="Century Gothic"/>
          <w:color w:val="auto"/>
          <w:sz w:val="22"/>
          <w:szCs w:val="22"/>
        </w:rPr>
        <w:t>Validar el registro contable de las transacciones reflejadas en los Estados Financieros del RCC, al 30/09/2020.</w:t>
      </w:r>
    </w:p>
    <w:p w14:paraId="231AE23F" w14:textId="77777777" w:rsidR="005A046F" w:rsidRPr="00B26CE5" w:rsidRDefault="005A046F" w:rsidP="005A046F">
      <w:pPr>
        <w:pStyle w:val="Textoindependiente"/>
        <w:rPr>
          <w:rFonts w:ascii="Century Gothic" w:hAnsi="Century Gothic" w:cs="Times New Roman"/>
          <w:color w:val="auto"/>
          <w:sz w:val="16"/>
          <w:szCs w:val="22"/>
        </w:rPr>
      </w:pPr>
    </w:p>
    <w:p w14:paraId="5966433C" w14:textId="77777777" w:rsidR="005A046F" w:rsidRPr="00B26CE5" w:rsidRDefault="005A046F" w:rsidP="005A046F">
      <w:pPr>
        <w:pStyle w:val="Textoindependiente"/>
        <w:numPr>
          <w:ilvl w:val="0"/>
          <w:numId w:val="8"/>
        </w:numPr>
        <w:ind w:left="360"/>
        <w:rPr>
          <w:rFonts w:ascii="Century Gothic" w:hAnsi="Century Gothic"/>
          <w:color w:val="auto"/>
          <w:sz w:val="22"/>
          <w:szCs w:val="22"/>
        </w:rPr>
      </w:pPr>
      <w:r w:rsidRPr="00B26CE5">
        <w:rPr>
          <w:rFonts w:ascii="Century Gothic" w:hAnsi="Century Gothic"/>
          <w:color w:val="auto"/>
          <w:sz w:val="22"/>
          <w:szCs w:val="22"/>
        </w:rPr>
        <w:t>Revisar el cumplimiento de la normativa vigente, en los aspectos relacionados con el tema bajo estudio.</w:t>
      </w:r>
    </w:p>
    <w:p w14:paraId="432E2A8D" w14:textId="77777777" w:rsidR="005A046F" w:rsidRDefault="005A046F" w:rsidP="005A046F">
      <w:pPr>
        <w:pStyle w:val="Prrafodelista"/>
        <w:rPr>
          <w:rFonts w:ascii="Century Gothic" w:hAnsi="Century Gothic"/>
          <w:sz w:val="22"/>
          <w:szCs w:val="22"/>
        </w:rPr>
      </w:pPr>
    </w:p>
    <w:p w14:paraId="5D234BF9" w14:textId="77777777" w:rsidR="005A046F" w:rsidRPr="00B26CE5" w:rsidRDefault="005A046F" w:rsidP="005A046F">
      <w:pPr>
        <w:pStyle w:val="Prrafodelista"/>
        <w:rPr>
          <w:rFonts w:ascii="Century Gothic" w:hAnsi="Century Gothic"/>
          <w:sz w:val="22"/>
          <w:szCs w:val="22"/>
        </w:rPr>
      </w:pPr>
    </w:p>
    <w:p w14:paraId="2E2666C0" w14:textId="77777777" w:rsidR="005A046F" w:rsidRPr="00B26CE5" w:rsidRDefault="005A046F" w:rsidP="005A046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12409EAE" w14:textId="77777777" w:rsidR="005A046F" w:rsidRPr="00B26CE5" w:rsidRDefault="005A046F" w:rsidP="005A046F">
      <w:pPr>
        <w:pStyle w:val="Textoindependiente"/>
        <w:ind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De conformidad con los objetivos propuestos para esta revisión, se concluye lo siguiente: </w:t>
      </w:r>
    </w:p>
    <w:p w14:paraId="54144543" w14:textId="77777777" w:rsidR="005A046F" w:rsidRPr="00B26CE5" w:rsidRDefault="005A046F" w:rsidP="005A046F">
      <w:pPr>
        <w:pStyle w:val="Textoindependiente"/>
        <w:ind w:right="49"/>
        <w:rPr>
          <w:rFonts w:ascii="Century Gothic" w:hAnsi="Century Gothic" w:cs="Times New Roman"/>
          <w:color w:val="auto"/>
          <w:sz w:val="16"/>
          <w:szCs w:val="16"/>
        </w:rPr>
      </w:pPr>
    </w:p>
    <w:p w14:paraId="28B20331" w14:textId="77777777" w:rsidR="005A046F" w:rsidRPr="00B26CE5" w:rsidRDefault="005A046F" w:rsidP="005A046F">
      <w:pPr>
        <w:pStyle w:val="Textoindependiente"/>
        <w:numPr>
          <w:ilvl w:val="0"/>
          <w:numId w:val="9"/>
        </w:numPr>
        <w:ind w:left="720"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Se validaron las cifras de los Estados Financieros del RCC al 30/09/2020.  </w:t>
      </w:r>
    </w:p>
    <w:p w14:paraId="50313F33" w14:textId="77777777" w:rsidR="005A046F" w:rsidRPr="0008032A" w:rsidRDefault="005A046F" w:rsidP="005A046F">
      <w:pPr>
        <w:pStyle w:val="Prrafodelista"/>
        <w:rPr>
          <w:rFonts w:ascii="Century Gothic" w:hAnsi="Century Gothic"/>
          <w:sz w:val="22"/>
          <w:szCs w:val="22"/>
        </w:rPr>
      </w:pPr>
    </w:p>
    <w:p w14:paraId="0C525D8C" w14:textId="77777777" w:rsidR="005A046F" w:rsidRPr="00B26CE5" w:rsidRDefault="005A046F" w:rsidP="005A046F">
      <w:pPr>
        <w:pStyle w:val="Textoindependiente"/>
        <w:numPr>
          <w:ilvl w:val="0"/>
          <w:numId w:val="9"/>
        </w:numPr>
        <w:ind w:left="720"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Se firmaron los Estados Financieros del RCC al 30/09/2020 para el envío a la SUPEN, mediante el oficio </w:t>
      </w:r>
      <w:r w:rsidRPr="00B26CE5">
        <w:rPr>
          <w:rFonts w:ascii="Century Gothic" w:hAnsi="Century Gothic" w:cs="Times New Roman"/>
          <w:color w:val="auto"/>
          <w:sz w:val="22"/>
          <w:szCs w:val="22"/>
          <w:lang w:val="es-CR"/>
        </w:rPr>
        <w:t xml:space="preserve">AI-0741-10-2020 </w:t>
      </w: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del 30/10/2020, con lo cual se da cumplimiento al </w:t>
      </w:r>
      <w:r w:rsidRPr="00B26CE5">
        <w:rPr>
          <w:rFonts w:ascii="Century Gothic" w:hAnsi="Century Gothic"/>
          <w:color w:val="auto"/>
          <w:sz w:val="22"/>
          <w:szCs w:val="22"/>
        </w:rPr>
        <w:t>Reglamento de Información Financiera</w:t>
      </w: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 artículos Nos. 18, 30 y 36; así como del artículo No.2 del documento SP-A-211-2019 del 09/09/2019</w:t>
      </w:r>
      <w:r w:rsidRPr="00B26CE5">
        <w:rPr>
          <w:rFonts w:ascii="Century Gothic" w:hAnsi="Century Gothic"/>
          <w:color w:val="auto"/>
          <w:sz w:val="22"/>
          <w:szCs w:val="22"/>
        </w:rPr>
        <w:t>.</w:t>
      </w: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</w:p>
    <w:p w14:paraId="4EDB8B6A" w14:textId="77777777" w:rsidR="005A046F" w:rsidRPr="0008032A" w:rsidRDefault="005A046F" w:rsidP="005A046F">
      <w:pPr>
        <w:pStyle w:val="Prrafodelista"/>
        <w:rPr>
          <w:rFonts w:ascii="Century Gothic" w:hAnsi="Century Gothic"/>
          <w:sz w:val="22"/>
          <w:szCs w:val="22"/>
        </w:rPr>
      </w:pPr>
    </w:p>
    <w:p w14:paraId="57804D41" w14:textId="77777777" w:rsidR="005A046F" w:rsidRPr="00B26CE5" w:rsidRDefault="005A046F" w:rsidP="005A046F">
      <w:pPr>
        <w:pStyle w:val="Textoindependiente"/>
        <w:numPr>
          <w:ilvl w:val="0"/>
          <w:numId w:val="9"/>
        </w:numPr>
        <w:ind w:left="720"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Se revisó el cumplimiento de la normativa relacionada con el tema en estudio, determinándose un incumplimiento con lo dispuesto por el acuerdo SP-A-211-2019 y lo contenido en la NIC 1 y NIC 7, con respecto a la presentación del Estado Financiero de ‘Cambios en el Patrimonio’, Estado de Flujos de Efectivo y Estado de Cambios en los activos netos disponibles para beneficios; situaciones que fueron comunicadas </w:t>
      </w:r>
      <w:r>
        <w:rPr>
          <w:rFonts w:ascii="Century Gothic" w:hAnsi="Century Gothic" w:cs="Times New Roman"/>
          <w:color w:val="auto"/>
          <w:sz w:val="22"/>
          <w:szCs w:val="22"/>
        </w:rPr>
        <w:t xml:space="preserve">a la Administración </w:t>
      </w: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mediante oficios. </w:t>
      </w:r>
    </w:p>
    <w:p w14:paraId="70209818" w14:textId="77777777" w:rsidR="005A046F" w:rsidRPr="00B26CE5" w:rsidRDefault="005A046F" w:rsidP="005A046F">
      <w:pPr>
        <w:pStyle w:val="Prrafodelista"/>
        <w:rPr>
          <w:rFonts w:ascii="Century Gothic" w:hAnsi="Century Gothic"/>
          <w:sz w:val="22"/>
          <w:szCs w:val="22"/>
        </w:rPr>
      </w:pPr>
    </w:p>
    <w:p w14:paraId="2D77B69F" w14:textId="77777777" w:rsidR="005A046F" w:rsidRDefault="005A046F" w:rsidP="005A046F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lang w:val="es-ES" w:eastAsia="es-CR"/>
        </w:rPr>
      </w:pPr>
    </w:p>
    <w:p w14:paraId="64A5CCCC" w14:textId="77777777" w:rsidR="005A046F" w:rsidRPr="007B7523" w:rsidRDefault="005A046F" w:rsidP="005A046F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003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12/01/2021.</w:t>
      </w:r>
    </w:p>
    <w:p w14:paraId="47AEA28C" w14:textId="77777777" w:rsidR="005A046F" w:rsidRPr="0080454F" w:rsidRDefault="005A046F" w:rsidP="005A046F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lang w:eastAsia="es-CR"/>
        </w:rPr>
      </w:pPr>
    </w:p>
    <w:p w14:paraId="119EB90B" w14:textId="631B31B9" w:rsidR="005A046F" w:rsidRPr="00B26CE5" w:rsidRDefault="005A046F" w:rsidP="005A046F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5A046F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A046F"/>
    <w:rsid w:val="005F243F"/>
    <w:rsid w:val="007A5F63"/>
    <w:rsid w:val="007B2EB3"/>
    <w:rsid w:val="007F4D65"/>
    <w:rsid w:val="0080454F"/>
    <w:rsid w:val="0088279B"/>
    <w:rsid w:val="00B26CE5"/>
    <w:rsid w:val="00D50944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