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4BE85" w14:textId="77777777" w:rsidR="004D2F8E" w:rsidRPr="00C30A43" w:rsidRDefault="004D2F8E" w:rsidP="004D2F8E">
      <w:pPr>
        <w:spacing w:after="0" w:line="240" w:lineRule="auto"/>
        <w:jc w:val="center"/>
        <w:rPr>
          <w:rFonts w:ascii="Century Gothic" w:hAnsi="Century Gothic"/>
          <w:b/>
          <w:color w:val="1F3864" w:themeColor="accent1" w:themeShade="80"/>
        </w:rPr>
      </w:pPr>
      <w:r w:rsidRPr="00C30A43">
        <w:rPr>
          <w:rFonts w:ascii="Century Gothic" w:hAnsi="Century Gothic"/>
          <w:b/>
          <w:color w:val="1F3864" w:themeColor="accent1" w:themeShade="80"/>
        </w:rPr>
        <w:t xml:space="preserve">Estudio No. 25-2020 </w:t>
      </w:r>
    </w:p>
    <w:p w14:paraId="130DB50F" w14:textId="77777777" w:rsidR="004D2F8E" w:rsidRPr="00C30A43" w:rsidRDefault="004D2F8E" w:rsidP="004D2F8E">
      <w:pPr>
        <w:spacing w:after="0" w:line="240" w:lineRule="auto"/>
        <w:jc w:val="center"/>
        <w:rPr>
          <w:rFonts w:ascii="Century Gothic" w:hAnsi="Century Gothic"/>
          <w:b/>
          <w:color w:val="1F3864" w:themeColor="accent1" w:themeShade="80"/>
        </w:rPr>
      </w:pPr>
      <w:r w:rsidRPr="00C30A43">
        <w:rPr>
          <w:rFonts w:ascii="Century Gothic" w:hAnsi="Century Gothic"/>
          <w:b/>
          <w:color w:val="1F3864" w:themeColor="accent1" w:themeShade="80"/>
        </w:rPr>
        <w:t>Resultado de Refrendo a julio de 2020</w:t>
      </w:r>
    </w:p>
    <w:p w14:paraId="0FE7B188" w14:textId="77777777" w:rsidR="004D2F8E" w:rsidRPr="007B7523" w:rsidRDefault="004D2F8E" w:rsidP="004D2F8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469260E8" w14:textId="77777777" w:rsidR="004D2F8E" w:rsidRPr="007B7523" w:rsidRDefault="004D2F8E" w:rsidP="004D2F8E">
      <w:pPr>
        <w:spacing w:after="0" w:line="240" w:lineRule="auto"/>
        <w:ind w:right="473"/>
        <w:rPr>
          <w:rFonts w:ascii="Century Gothic" w:hAnsi="Century Gothic"/>
          <w:b/>
          <w:color w:val="1F3864" w:themeColor="accent1" w:themeShade="80"/>
        </w:rPr>
      </w:pPr>
      <w:r w:rsidRPr="007B7523">
        <w:rPr>
          <w:rFonts w:ascii="Century Gothic" w:hAnsi="Century Gothic"/>
          <w:b/>
          <w:color w:val="1F3864" w:themeColor="accent1" w:themeShade="80"/>
        </w:rPr>
        <w:t>Alcance</w:t>
      </w:r>
    </w:p>
    <w:p w14:paraId="789C8E74" w14:textId="77777777" w:rsidR="004D2F8E" w:rsidRPr="00C30A43" w:rsidRDefault="004D2F8E" w:rsidP="004D2F8E">
      <w:pPr>
        <w:pStyle w:val="Ttulo4"/>
        <w:spacing w:before="0"/>
        <w:jc w:val="both"/>
        <w:rPr>
          <w:rFonts w:ascii="Century Gothic" w:hAnsi="Century Gothic" w:cs="Times New Roman"/>
          <w:b/>
          <w:i w:val="0"/>
          <w:iCs w:val="0"/>
          <w:color w:val="000000"/>
          <w:spacing w:val="-3"/>
          <w:sz w:val="22"/>
          <w:szCs w:val="20"/>
        </w:rPr>
      </w:pPr>
      <w:r w:rsidRPr="00C30A43">
        <w:rPr>
          <w:rFonts w:ascii="Century Gothic" w:hAnsi="Century Gothic" w:cs="Times New Roman"/>
          <w:i w:val="0"/>
          <w:iCs w:val="0"/>
          <w:color w:val="000000"/>
          <w:spacing w:val="-3"/>
          <w:sz w:val="22"/>
          <w:szCs w:val="20"/>
        </w:rPr>
        <w:t>Determinar los resultados del proceso de refrendo de las resoluciones, correspondientes a los expedientes del Régimen Transitorio de Reparto (RTR), para el periodo de noviembre de 2019 a julio de 2020.</w:t>
      </w:r>
    </w:p>
    <w:p w14:paraId="2911E0BE" w14:textId="77777777" w:rsidR="004D2F8E" w:rsidRPr="00C30A43" w:rsidRDefault="004D2F8E" w:rsidP="004D2F8E">
      <w:pPr>
        <w:spacing w:after="0" w:line="240" w:lineRule="auto"/>
        <w:ind w:firstLine="709"/>
        <w:rPr>
          <w:rFonts w:ascii="Century Gothic" w:hAnsi="Century Gothic"/>
          <w:lang w:val="es-MX"/>
        </w:rPr>
      </w:pPr>
    </w:p>
    <w:p w14:paraId="2DE7A261" w14:textId="77777777" w:rsidR="004D2F8E" w:rsidRPr="00C30A43" w:rsidRDefault="004D2F8E" w:rsidP="004D2F8E">
      <w:pPr>
        <w:spacing w:after="0" w:line="240" w:lineRule="auto"/>
        <w:ind w:firstLine="709"/>
        <w:rPr>
          <w:rFonts w:ascii="Century Gothic" w:hAnsi="Century Gothic"/>
          <w:lang w:val="es-MX"/>
        </w:rPr>
      </w:pPr>
    </w:p>
    <w:p w14:paraId="2A4D3669" w14:textId="77777777" w:rsidR="004D2F8E" w:rsidRPr="00C30A43" w:rsidRDefault="004D2F8E" w:rsidP="004D2F8E">
      <w:pPr>
        <w:spacing w:after="0" w:line="240" w:lineRule="auto"/>
        <w:ind w:right="473"/>
        <w:rPr>
          <w:rFonts w:ascii="Century Gothic" w:hAnsi="Century Gothic"/>
          <w:b/>
          <w:color w:val="1F3864" w:themeColor="accent1" w:themeShade="80"/>
        </w:rPr>
      </w:pPr>
      <w:r w:rsidRPr="00C30A43">
        <w:rPr>
          <w:rFonts w:ascii="Century Gothic" w:hAnsi="Century Gothic"/>
          <w:b/>
          <w:color w:val="1F3864" w:themeColor="accent1" w:themeShade="80"/>
        </w:rPr>
        <w:t>Objetivo</w:t>
      </w:r>
    </w:p>
    <w:p w14:paraId="6F2D2572" w14:textId="77777777" w:rsidR="004D2F8E" w:rsidRPr="00C30A43" w:rsidRDefault="004D2F8E" w:rsidP="004D2F8E">
      <w:pPr>
        <w:pStyle w:val="Ttulo4"/>
        <w:spacing w:before="0"/>
        <w:jc w:val="both"/>
        <w:rPr>
          <w:rFonts w:ascii="Century Gothic" w:hAnsi="Century Gothic" w:cs="Times New Roman"/>
          <w:b/>
          <w:i w:val="0"/>
          <w:iCs w:val="0"/>
          <w:color w:val="000000"/>
          <w:spacing w:val="-3"/>
          <w:sz w:val="22"/>
          <w:szCs w:val="20"/>
        </w:rPr>
      </w:pPr>
      <w:r w:rsidRPr="00C30A43">
        <w:rPr>
          <w:rFonts w:ascii="Century Gothic" w:hAnsi="Century Gothic" w:cs="Times New Roman"/>
          <w:i w:val="0"/>
          <w:iCs w:val="0"/>
          <w:color w:val="000000"/>
          <w:spacing w:val="-3"/>
          <w:sz w:val="22"/>
          <w:szCs w:val="20"/>
        </w:rPr>
        <w:t>Comunicar los resultados del refrendo efectuado por la Auditoría Interna, a las resoluciones de los trámites analizados por la Junta Directiva, para cumplir con lo establecido en el artículo No. 89 de la Ley No. 7531 y sus reformas; así como en los acuerdos dispuestos por el Órgano Colegiado al respecto.</w:t>
      </w:r>
    </w:p>
    <w:p w14:paraId="3202754F" w14:textId="77777777" w:rsidR="004D2F8E" w:rsidRPr="007B7523" w:rsidRDefault="004D2F8E" w:rsidP="004D2F8E">
      <w:pPr>
        <w:spacing w:after="0" w:line="240" w:lineRule="auto"/>
        <w:rPr>
          <w:rFonts w:ascii="Century Gothic" w:hAnsi="Century Gothic"/>
          <w:b/>
          <w:color w:val="000000" w:themeColor="text1"/>
        </w:rPr>
      </w:pPr>
    </w:p>
    <w:p w14:paraId="235B2AF2" w14:textId="77777777" w:rsidR="004D2F8E" w:rsidRPr="007B7523" w:rsidRDefault="004D2F8E" w:rsidP="004D2F8E">
      <w:pPr>
        <w:spacing w:after="0" w:line="240" w:lineRule="auto"/>
        <w:rPr>
          <w:rFonts w:ascii="Century Gothic" w:hAnsi="Century Gothic"/>
          <w:b/>
          <w:color w:val="000000" w:themeColor="text1"/>
        </w:rPr>
      </w:pPr>
    </w:p>
    <w:p w14:paraId="7B8B582F" w14:textId="77777777" w:rsidR="004D2F8E" w:rsidRPr="007B7523" w:rsidRDefault="004D2F8E" w:rsidP="004D2F8E">
      <w:pPr>
        <w:spacing w:after="0" w:line="240" w:lineRule="auto"/>
        <w:ind w:right="473"/>
        <w:rPr>
          <w:rFonts w:ascii="Century Gothic" w:hAnsi="Century Gothic"/>
          <w:b/>
          <w:color w:val="1F3864" w:themeColor="accent1" w:themeShade="80"/>
        </w:rPr>
      </w:pPr>
      <w:r w:rsidRPr="007B7523">
        <w:rPr>
          <w:rFonts w:ascii="Century Gothic" w:hAnsi="Century Gothic"/>
          <w:b/>
          <w:color w:val="1F3864" w:themeColor="accent1" w:themeShade="80"/>
        </w:rPr>
        <w:t>Resultados Obtenidos</w:t>
      </w:r>
    </w:p>
    <w:p w14:paraId="2BC2EDD9" w14:textId="77777777" w:rsidR="004D2F8E" w:rsidRPr="007B7523" w:rsidRDefault="004D2F8E" w:rsidP="004D2F8E">
      <w:pPr>
        <w:spacing w:after="0" w:line="240" w:lineRule="auto"/>
        <w:ind w:left="284" w:right="473"/>
        <w:rPr>
          <w:rFonts w:ascii="Century Gothic" w:hAnsi="Century Gothic"/>
          <w:b/>
          <w:color w:val="1F3864" w:themeColor="accent1" w:themeShade="80"/>
          <w:sz w:val="16"/>
        </w:rPr>
      </w:pPr>
    </w:p>
    <w:p w14:paraId="702B7186" w14:textId="77777777" w:rsidR="004D2F8E" w:rsidRPr="007B7523" w:rsidRDefault="004D2F8E" w:rsidP="004D2F8E">
      <w:pPr>
        <w:spacing w:after="0" w:line="240" w:lineRule="auto"/>
        <w:ind w:right="473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De conformidad con el objetivo propuesto para el presente estudio, se concluye lo siguiente:</w:t>
      </w:r>
    </w:p>
    <w:p w14:paraId="4DAF1DC3" w14:textId="77777777" w:rsidR="004D2F8E" w:rsidRPr="007B7523" w:rsidRDefault="004D2F8E" w:rsidP="004D2F8E">
      <w:pPr>
        <w:spacing w:after="0" w:line="240" w:lineRule="auto"/>
        <w:ind w:right="473"/>
        <w:jc w:val="both"/>
        <w:rPr>
          <w:rFonts w:ascii="Century Gothic" w:hAnsi="Century Gothic"/>
        </w:rPr>
      </w:pPr>
    </w:p>
    <w:p w14:paraId="521593E3" w14:textId="77777777" w:rsidR="004D2F8E" w:rsidRPr="007B7523" w:rsidRDefault="004D2F8E" w:rsidP="004D2F8E">
      <w:pPr>
        <w:pStyle w:val="Prrafodelista"/>
        <w:numPr>
          <w:ilvl w:val="0"/>
          <w:numId w:val="29"/>
        </w:numPr>
        <w:ind w:left="426" w:right="473"/>
        <w:jc w:val="both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 xml:space="preserve">En el período de noviembre a julio de 2020, el Órgano Colegiado analizó y resolvió en </w:t>
      </w:r>
      <w:r w:rsidRPr="007B7523">
        <w:rPr>
          <w:rFonts w:ascii="Century Gothic" w:hAnsi="Century Gothic"/>
          <w:b/>
          <w:sz w:val="22"/>
          <w:szCs w:val="22"/>
        </w:rPr>
        <w:t>27</w:t>
      </w:r>
      <w:r w:rsidRPr="007B7523">
        <w:rPr>
          <w:rFonts w:ascii="Century Gothic" w:hAnsi="Century Gothic"/>
          <w:sz w:val="22"/>
          <w:szCs w:val="22"/>
        </w:rPr>
        <w:t xml:space="preserve"> sesiones, un total de </w:t>
      </w:r>
      <w:r w:rsidRPr="007B7523">
        <w:rPr>
          <w:rFonts w:ascii="Century Gothic" w:hAnsi="Century Gothic"/>
          <w:b/>
          <w:sz w:val="22"/>
          <w:szCs w:val="22"/>
        </w:rPr>
        <w:t>4.202</w:t>
      </w:r>
      <w:r w:rsidRPr="007B7523">
        <w:rPr>
          <w:rFonts w:ascii="Century Gothic" w:hAnsi="Century Gothic"/>
          <w:sz w:val="22"/>
          <w:szCs w:val="22"/>
        </w:rPr>
        <w:t xml:space="preserve"> trámites del Régimen Transitorio de Reparto (RTR) y </w:t>
      </w:r>
      <w:r w:rsidRPr="007B7523">
        <w:rPr>
          <w:rFonts w:ascii="Century Gothic" w:hAnsi="Century Gothic"/>
          <w:b/>
          <w:sz w:val="22"/>
          <w:szCs w:val="22"/>
        </w:rPr>
        <w:t>896</w:t>
      </w:r>
      <w:r w:rsidRPr="007B7523">
        <w:rPr>
          <w:rFonts w:ascii="Century Gothic" w:hAnsi="Century Gothic"/>
          <w:sz w:val="22"/>
          <w:szCs w:val="22"/>
        </w:rPr>
        <w:t xml:space="preserve"> casos del Régimen de Capitalización Colectiva (RCC).</w:t>
      </w:r>
    </w:p>
    <w:p w14:paraId="20D74156" w14:textId="77777777" w:rsidR="004D2F8E" w:rsidRPr="007B7523" w:rsidRDefault="004D2F8E" w:rsidP="004D2F8E">
      <w:pPr>
        <w:pStyle w:val="Prrafodelista"/>
        <w:ind w:right="473"/>
        <w:jc w:val="both"/>
        <w:rPr>
          <w:rFonts w:ascii="Century Gothic" w:hAnsi="Century Gothic"/>
          <w:sz w:val="22"/>
          <w:szCs w:val="22"/>
        </w:rPr>
      </w:pPr>
    </w:p>
    <w:p w14:paraId="7CF239DC" w14:textId="77777777" w:rsidR="004D2F8E" w:rsidRPr="007B7523" w:rsidRDefault="004D2F8E" w:rsidP="004D2F8E">
      <w:pPr>
        <w:pStyle w:val="Prrafodelista"/>
        <w:numPr>
          <w:ilvl w:val="0"/>
          <w:numId w:val="29"/>
        </w:numPr>
        <w:ind w:left="426" w:right="473"/>
        <w:jc w:val="both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 xml:space="preserve">Se trasladaron para revisión de esta Auditoría </w:t>
      </w:r>
      <w:r w:rsidRPr="007B7523">
        <w:rPr>
          <w:rFonts w:ascii="Century Gothic" w:hAnsi="Century Gothic"/>
          <w:b/>
          <w:sz w:val="22"/>
          <w:szCs w:val="22"/>
        </w:rPr>
        <w:t>4.200</w:t>
      </w:r>
      <w:r w:rsidRPr="007B7523">
        <w:rPr>
          <w:rFonts w:ascii="Century Gothic" w:hAnsi="Century Gothic"/>
          <w:sz w:val="22"/>
          <w:szCs w:val="22"/>
        </w:rPr>
        <w:t xml:space="preserve"> trámites del RTR, entre los cuales se determinaron </w:t>
      </w:r>
      <w:r w:rsidRPr="007B7523">
        <w:rPr>
          <w:rFonts w:ascii="Century Gothic" w:hAnsi="Century Gothic"/>
          <w:b/>
          <w:sz w:val="22"/>
          <w:szCs w:val="22"/>
        </w:rPr>
        <w:t>56</w:t>
      </w:r>
      <w:r w:rsidRPr="007B7523">
        <w:rPr>
          <w:rFonts w:ascii="Century Gothic" w:hAnsi="Century Gothic"/>
          <w:sz w:val="22"/>
          <w:szCs w:val="22"/>
        </w:rPr>
        <w:t xml:space="preserve"> inconsistencias, </w:t>
      </w:r>
      <w:r w:rsidRPr="007B7523">
        <w:rPr>
          <w:rFonts w:ascii="Century Gothic" w:hAnsi="Century Gothic"/>
          <w:b/>
          <w:sz w:val="22"/>
          <w:szCs w:val="22"/>
        </w:rPr>
        <w:t>53</w:t>
      </w:r>
      <w:r w:rsidRPr="007B7523">
        <w:rPr>
          <w:rFonts w:ascii="Century Gothic" w:hAnsi="Century Gothic"/>
          <w:sz w:val="22"/>
          <w:szCs w:val="22"/>
        </w:rPr>
        <w:t xml:space="preserve"> situaciones y </w:t>
      </w:r>
      <w:r w:rsidRPr="007B7523">
        <w:rPr>
          <w:rFonts w:ascii="Century Gothic" w:hAnsi="Century Gothic"/>
          <w:b/>
          <w:sz w:val="22"/>
          <w:szCs w:val="22"/>
        </w:rPr>
        <w:t>259</w:t>
      </w:r>
      <w:r w:rsidRPr="007B7523">
        <w:rPr>
          <w:rFonts w:ascii="Century Gothic" w:hAnsi="Century Gothic"/>
          <w:sz w:val="22"/>
          <w:szCs w:val="22"/>
        </w:rPr>
        <w:t xml:space="preserve"> observaciones; las cuales fueron comunicadas oportunamente a la Administración para su corrección.</w:t>
      </w:r>
    </w:p>
    <w:p w14:paraId="73A2A0E8" w14:textId="77777777" w:rsidR="004D2F8E" w:rsidRPr="007B7523" w:rsidRDefault="004D2F8E" w:rsidP="004D2F8E">
      <w:pPr>
        <w:pStyle w:val="Prrafodelista"/>
        <w:ind w:right="473"/>
        <w:jc w:val="both"/>
        <w:rPr>
          <w:rFonts w:ascii="Century Gothic" w:hAnsi="Century Gothic"/>
          <w:sz w:val="22"/>
          <w:szCs w:val="22"/>
        </w:rPr>
      </w:pPr>
    </w:p>
    <w:p w14:paraId="4103EB61" w14:textId="77777777" w:rsidR="004D2F8E" w:rsidRPr="007B7523" w:rsidRDefault="004D2F8E" w:rsidP="004D2F8E">
      <w:pPr>
        <w:pStyle w:val="Prrafodelista"/>
        <w:numPr>
          <w:ilvl w:val="0"/>
          <w:numId w:val="29"/>
        </w:numPr>
        <w:ind w:left="426" w:right="473" w:hanging="426"/>
        <w:jc w:val="both"/>
        <w:rPr>
          <w:rFonts w:ascii="Century Gothic" w:hAnsi="Century Gothic"/>
          <w:b/>
          <w:color w:val="1F3864" w:themeColor="accent1" w:themeShade="80"/>
          <w:sz w:val="16"/>
          <w:szCs w:val="22"/>
        </w:rPr>
      </w:pPr>
      <w:r w:rsidRPr="007B7523">
        <w:rPr>
          <w:rFonts w:ascii="Century Gothic" w:hAnsi="Century Gothic"/>
          <w:sz w:val="22"/>
          <w:szCs w:val="22"/>
        </w:rPr>
        <w:t xml:space="preserve">El índice de efectividad obtenido para el periodo evaluado estuvo entre el 97.28% y el 99.53% manteniéndose por encima del 95% establecido por la Junta Directiva, en el acuerdo </w:t>
      </w:r>
      <w:proofErr w:type="spellStart"/>
      <w:r w:rsidRPr="007B7523">
        <w:rPr>
          <w:rFonts w:ascii="Century Gothic" w:hAnsi="Century Gothic"/>
          <w:sz w:val="22"/>
          <w:szCs w:val="22"/>
        </w:rPr>
        <w:t>N°</w:t>
      </w:r>
      <w:proofErr w:type="spellEnd"/>
      <w:r w:rsidRPr="007B7523">
        <w:rPr>
          <w:rFonts w:ascii="Century Gothic" w:hAnsi="Century Gothic"/>
          <w:sz w:val="22"/>
          <w:szCs w:val="22"/>
        </w:rPr>
        <w:t xml:space="preserve"> 4 de la Sesión Ordinaria </w:t>
      </w:r>
      <w:proofErr w:type="spellStart"/>
      <w:r w:rsidRPr="007B7523">
        <w:rPr>
          <w:rFonts w:ascii="Century Gothic" w:hAnsi="Century Gothic"/>
          <w:sz w:val="22"/>
          <w:szCs w:val="22"/>
        </w:rPr>
        <w:t>N°</w:t>
      </w:r>
      <w:proofErr w:type="spellEnd"/>
      <w:r w:rsidRPr="007B7523">
        <w:rPr>
          <w:rFonts w:ascii="Century Gothic" w:hAnsi="Century Gothic"/>
          <w:sz w:val="22"/>
          <w:szCs w:val="22"/>
        </w:rPr>
        <w:t xml:space="preserve"> 11-2014 del 30/01/2014.</w:t>
      </w:r>
    </w:p>
    <w:p w14:paraId="4E69AEE5" w14:textId="77777777" w:rsidR="004D2F8E" w:rsidRPr="007B7523" w:rsidRDefault="004D2F8E" w:rsidP="004D2F8E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47676C0B" w14:textId="77777777" w:rsidR="004D2F8E" w:rsidRPr="007B7523" w:rsidRDefault="004D2F8E" w:rsidP="004D2F8E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Este informe se aprobó en la Sesión Ordinaria No. 129-2020 del 20/11/2020</w:t>
      </w:r>
      <w:r>
        <w:rPr>
          <w:rFonts w:ascii="Century Gothic" w:hAnsi="Century Gothic"/>
        </w:rPr>
        <w:t>.</w:t>
      </w:r>
    </w:p>
    <w:p w14:paraId="65A8CE91" w14:textId="77777777" w:rsidR="004D2F8E" w:rsidRPr="009F5FA2" w:rsidRDefault="004D2F8E" w:rsidP="004D2F8E"/>
    <w:p w14:paraId="410D7EBD" w14:textId="77777777" w:rsidR="004D2F8E" w:rsidRPr="000B16C4" w:rsidRDefault="004D2F8E" w:rsidP="004D2F8E"/>
    <w:sectPr w:rsidR="004D2F8E" w:rsidRPr="000B1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0B16C4"/>
    <w:rsid w:val="00246F07"/>
    <w:rsid w:val="002E265A"/>
    <w:rsid w:val="00302B34"/>
    <w:rsid w:val="003128FC"/>
    <w:rsid w:val="00456729"/>
    <w:rsid w:val="00492323"/>
    <w:rsid w:val="004D2F8E"/>
    <w:rsid w:val="0063209C"/>
    <w:rsid w:val="00693450"/>
    <w:rsid w:val="007A6F11"/>
    <w:rsid w:val="007B2AEE"/>
    <w:rsid w:val="007B7523"/>
    <w:rsid w:val="008C13C6"/>
    <w:rsid w:val="00961BB8"/>
    <w:rsid w:val="009C1D39"/>
    <w:rsid w:val="009F5FA2"/>
    <w:rsid w:val="00AF5E9E"/>
    <w:rsid w:val="00B05CAA"/>
    <w:rsid w:val="00B43030"/>
    <w:rsid w:val="00B638C3"/>
    <w:rsid w:val="00B86E13"/>
    <w:rsid w:val="00BF4D71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