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D6576" w14:textId="77777777" w:rsidR="00BF4D71" w:rsidRPr="00B05CAA" w:rsidRDefault="00BF4D71" w:rsidP="00BF4D71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B05CAA">
        <w:rPr>
          <w:rFonts w:ascii="Century Gothic" w:hAnsi="Century Gothic"/>
          <w:b/>
          <w:color w:val="000080"/>
        </w:rPr>
        <w:t xml:space="preserve">Estudio No. 21-2020 </w:t>
      </w:r>
    </w:p>
    <w:p w14:paraId="1E2A28C6" w14:textId="77777777" w:rsidR="00BF4D71" w:rsidRPr="00B05CAA" w:rsidRDefault="00BF4D71" w:rsidP="00BF4D71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B05CAA">
        <w:rPr>
          <w:rFonts w:ascii="Century Gothic" w:hAnsi="Century Gothic"/>
          <w:b/>
          <w:color w:val="000080"/>
        </w:rPr>
        <w:t>Prevenciones, transgresiones y arreglos de pago</w:t>
      </w:r>
    </w:p>
    <w:p w14:paraId="526B03A7" w14:textId="77777777" w:rsidR="00BF4D71" w:rsidRPr="007B7523" w:rsidRDefault="00BF4D71" w:rsidP="00BF4D71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E7801B2" w14:textId="77777777" w:rsidR="00BF4D71" w:rsidRPr="007B7523" w:rsidRDefault="00BF4D71" w:rsidP="00BF4D71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Alcance</w:t>
      </w:r>
    </w:p>
    <w:p w14:paraId="0CE5F650" w14:textId="77777777" w:rsidR="00BF4D71" w:rsidRPr="007B7523" w:rsidRDefault="00BF4D71" w:rsidP="00BF4D71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</w:rPr>
        <w:t>Revisar la gestión de las unidades de Inspección y Recaudación para el cobro de cuotas obrero-patronales, de acuerdo con la normativa vigente.</w:t>
      </w:r>
    </w:p>
    <w:p w14:paraId="6D271D39" w14:textId="77777777" w:rsidR="00BF4D71" w:rsidRPr="007B7523" w:rsidRDefault="00BF4D71" w:rsidP="00BF4D71">
      <w:pPr>
        <w:tabs>
          <w:tab w:val="left" w:pos="360"/>
        </w:tabs>
        <w:spacing w:after="0" w:line="240" w:lineRule="auto"/>
        <w:ind w:left="720"/>
        <w:jc w:val="both"/>
        <w:rPr>
          <w:rFonts w:ascii="Century Gothic" w:hAnsi="Century Gothic"/>
          <w:b/>
          <w:color w:val="000080"/>
        </w:rPr>
      </w:pPr>
    </w:p>
    <w:p w14:paraId="1098FC76" w14:textId="77777777" w:rsidR="00BF4D71" w:rsidRPr="007B7523" w:rsidRDefault="00BF4D71" w:rsidP="00BF4D71">
      <w:pPr>
        <w:tabs>
          <w:tab w:val="left" w:pos="360"/>
        </w:tabs>
        <w:spacing w:after="0" w:line="240" w:lineRule="auto"/>
        <w:ind w:left="720"/>
        <w:jc w:val="both"/>
        <w:rPr>
          <w:rFonts w:ascii="Century Gothic" w:hAnsi="Century Gothic"/>
          <w:b/>
          <w:color w:val="000080"/>
        </w:rPr>
      </w:pPr>
    </w:p>
    <w:p w14:paraId="5819EBF2" w14:textId="77777777" w:rsidR="00BF4D71" w:rsidRPr="007B7523" w:rsidRDefault="00BF4D71" w:rsidP="00BF4D71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Objetivo</w:t>
      </w:r>
    </w:p>
    <w:p w14:paraId="757D7BC7" w14:textId="77777777" w:rsidR="00BF4D71" w:rsidRPr="007B7523" w:rsidRDefault="00BF4D71" w:rsidP="00BF4D71">
      <w:pPr>
        <w:pStyle w:val="Textoindependiente"/>
        <w:rPr>
          <w:rFonts w:ascii="Century Gothic" w:hAnsi="Century Gothic" w:cs="Times New Roman"/>
          <w:color w:val="auto"/>
          <w:sz w:val="22"/>
          <w:szCs w:val="22"/>
        </w:rPr>
      </w:pPr>
      <w:r w:rsidRPr="007B7523">
        <w:rPr>
          <w:rFonts w:ascii="Century Gothic" w:hAnsi="Century Gothic" w:cs="Times New Roman"/>
          <w:color w:val="auto"/>
          <w:sz w:val="22"/>
          <w:szCs w:val="22"/>
        </w:rPr>
        <w:t>Para efectuar esta revisión, se definió el siguiente objetivo:</w:t>
      </w:r>
    </w:p>
    <w:p w14:paraId="6A026B77" w14:textId="77777777" w:rsidR="00BF4D71" w:rsidRPr="007B7523" w:rsidRDefault="00BF4D71" w:rsidP="00BF4D71">
      <w:pPr>
        <w:spacing w:after="0" w:line="240" w:lineRule="auto"/>
        <w:jc w:val="both"/>
        <w:rPr>
          <w:rFonts w:ascii="Century Gothic" w:hAnsi="Century Gothic"/>
          <w:b/>
          <w:color w:val="000080"/>
        </w:rPr>
      </w:pPr>
    </w:p>
    <w:p w14:paraId="79E19CE7" w14:textId="77777777" w:rsidR="00BF4D71" w:rsidRPr="007B7523" w:rsidRDefault="00BF4D71" w:rsidP="00BF4D71">
      <w:pPr>
        <w:pStyle w:val="Textoindependiente"/>
        <w:ind w:left="284"/>
        <w:rPr>
          <w:rFonts w:ascii="Century Gothic" w:hAnsi="Century Gothic"/>
          <w:b/>
          <w:color w:val="000080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>Determinar las actividades y controles aplicados por las unidades de Inspección y Recaudación para el cobro de cuotas obrero-patronales, de conformidad con la normativa interna.</w:t>
      </w:r>
    </w:p>
    <w:p w14:paraId="5F4D409A" w14:textId="77777777" w:rsidR="00BF4D71" w:rsidRPr="007B7523" w:rsidRDefault="00BF4D71" w:rsidP="00BF4D71">
      <w:pPr>
        <w:pStyle w:val="Textoindependiente"/>
        <w:ind w:left="720"/>
        <w:rPr>
          <w:rFonts w:ascii="Century Gothic" w:hAnsi="Century Gothic"/>
          <w:b/>
          <w:color w:val="000080"/>
          <w:sz w:val="22"/>
          <w:szCs w:val="22"/>
        </w:rPr>
      </w:pPr>
    </w:p>
    <w:p w14:paraId="31B4495C" w14:textId="77777777" w:rsidR="00BF4D71" w:rsidRPr="007B7523" w:rsidRDefault="00BF4D71" w:rsidP="00BF4D71">
      <w:pPr>
        <w:pStyle w:val="Textoindependiente"/>
        <w:ind w:left="720"/>
        <w:rPr>
          <w:rFonts w:ascii="Century Gothic" w:hAnsi="Century Gothic"/>
          <w:b/>
          <w:color w:val="000080"/>
          <w:sz w:val="22"/>
          <w:szCs w:val="22"/>
        </w:rPr>
      </w:pPr>
    </w:p>
    <w:p w14:paraId="6C6F1A19" w14:textId="77777777" w:rsidR="00BF4D71" w:rsidRPr="007B7523" w:rsidRDefault="00BF4D71" w:rsidP="00BF4D71">
      <w:pPr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Resultados obtenidos</w:t>
      </w:r>
    </w:p>
    <w:p w14:paraId="7D491C73" w14:textId="77777777" w:rsidR="00BF4D71" w:rsidRPr="007B7523" w:rsidRDefault="00BF4D71" w:rsidP="00BF4D71">
      <w:pPr>
        <w:spacing w:after="0" w:line="240" w:lineRule="auto"/>
        <w:jc w:val="both"/>
        <w:rPr>
          <w:rFonts w:ascii="Century Gothic" w:hAnsi="Century Gothic"/>
          <w:bCs/>
        </w:rPr>
      </w:pPr>
      <w:r w:rsidRPr="007B7523">
        <w:rPr>
          <w:rFonts w:ascii="Century Gothic" w:hAnsi="Century Gothic"/>
          <w:bCs/>
        </w:rPr>
        <w:t>En relación con el objetivo propuesto, se concluye lo siguiente:</w:t>
      </w:r>
    </w:p>
    <w:p w14:paraId="78D57337" w14:textId="77777777" w:rsidR="00BF4D71" w:rsidRPr="007B7523" w:rsidRDefault="00BF4D71" w:rsidP="00BF4D71">
      <w:pPr>
        <w:pStyle w:val="Textoindependiente"/>
        <w:ind w:right="266"/>
        <w:rPr>
          <w:rFonts w:ascii="Century Gothic" w:hAnsi="Century Gothic"/>
          <w:color w:val="auto"/>
          <w:sz w:val="22"/>
          <w:szCs w:val="22"/>
        </w:rPr>
      </w:pPr>
    </w:p>
    <w:p w14:paraId="2FB20688" w14:textId="77777777" w:rsidR="00BF4D71" w:rsidRPr="007B7523" w:rsidRDefault="00BF4D71" w:rsidP="00BF4D71">
      <w:pPr>
        <w:pStyle w:val="Textoindependiente"/>
        <w:numPr>
          <w:ilvl w:val="0"/>
          <w:numId w:val="21"/>
        </w:numPr>
        <w:ind w:right="266"/>
        <w:rPr>
          <w:rFonts w:ascii="Century Gothic" w:hAnsi="Century Gothic"/>
          <w:color w:val="auto"/>
          <w:sz w:val="22"/>
          <w:szCs w:val="22"/>
        </w:rPr>
      </w:pPr>
      <w:r w:rsidRPr="007B7523">
        <w:rPr>
          <w:rFonts w:ascii="Century Gothic" w:hAnsi="Century Gothic"/>
          <w:color w:val="auto"/>
          <w:sz w:val="22"/>
          <w:szCs w:val="22"/>
        </w:rPr>
        <w:t>Se realizaron entrevistas a dos Inspectores de la Unidad de Recaudación para obtener un mejor entendimiento de los procesos que ejecuta dicha Unidad y determinar si los lineamientos para ejecutarlos no difieren; al respecto no se establecieron situaciones que llamaran nuestra atención.</w:t>
      </w:r>
    </w:p>
    <w:p w14:paraId="5BB16B7E" w14:textId="77777777" w:rsidR="00BF4D71" w:rsidRPr="007B7523" w:rsidRDefault="00BF4D71" w:rsidP="00BF4D71">
      <w:pPr>
        <w:pStyle w:val="Textoindependiente"/>
        <w:ind w:left="720" w:right="266"/>
        <w:rPr>
          <w:rFonts w:ascii="Century Gothic" w:hAnsi="Century Gothic"/>
          <w:color w:val="auto"/>
          <w:sz w:val="22"/>
          <w:szCs w:val="22"/>
        </w:rPr>
      </w:pPr>
    </w:p>
    <w:p w14:paraId="4075A3AE" w14:textId="77777777" w:rsidR="00BF4D71" w:rsidRPr="007B7523" w:rsidRDefault="00BF4D71" w:rsidP="00BF4D71">
      <w:pPr>
        <w:pStyle w:val="Textoindependiente"/>
        <w:numPr>
          <w:ilvl w:val="0"/>
          <w:numId w:val="21"/>
        </w:numPr>
        <w:ind w:right="266"/>
        <w:rPr>
          <w:rFonts w:ascii="Century Gothic" w:hAnsi="Century Gothic"/>
          <w:color w:val="auto"/>
          <w:sz w:val="22"/>
          <w:szCs w:val="22"/>
        </w:rPr>
      </w:pPr>
      <w:bookmarkStart w:id="0" w:name="_Hlk45548023"/>
      <w:r w:rsidRPr="007B7523">
        <w:rPr>
          <w:rFonts w:ascii="Century Gothic" w:hAnsi="Century Gothic"/>
          <w:color w:val="auto"/>
          <w:sz w:val="22"/>
          <w:szCs w:val="22"/>
        </w:rPr>
        <w:t>Se entrevistó al Supervisor de la Unidad de Recaudación y se constató</w:t>
      </w:r>
      <w:r w:rsidRPr="007B7523">
        <w:rPr>
          <w:rFonts w:ascii="Century Gothic" w:hAnsi="Century Gothic"/>
          <w:sz w:val="22"/>
          <w:szCs w:val="22"/>
        </w:rPr>
        <w:t xml:space="preserve"> que algunos procesos ejecutados en relación con el artículo No.51, no se encuentran automatizados.</w:t>
      </w:r>
    </w:p>
    <w:bookmarkEnd w:id="0"/>
    <w:p w14:paraId="7C151B0E" w14:textId="77777777" w:rsidR="00BF4D71" w:rsidRPr="007B7523" w:rsidRDefault="00BF4D71" w:rsidP="00BF4D71">
      <w:pPr>
        <w:pStyle w:val="Textoindependiente"/>
        <w:ind w:left="720" w:right="266"/>
        <w:rPr>
          <w:rFonts w:ascii="Century Gothic" w:hAnsi="Century Gothic"/>
          <w:color w:val="auto"/>
          <w:sz w:val="22"/>
          <w:szCs w:val="22"/>
        </w:rPr>
      </w:pPr>
    </w:p>
    <w:p w14:paraId="50BBE7EA" w14:textId="77777777" w:rsidR="00BF4D71" w:rsidRPr="007B7523" w:rsidRDefault="00BF4D71" w:rsidP="00BF4D71">
      <w:pPr>
        <w:pStyle w:val="Textoindependiente"/>
        <w:numPr>
          <w:ilvl w:val="0"/>
          <w:numId w:val="21"/>
        </w:numPr>
        <w:ind w:right="266"/>
        <w:rPr>
          <w:rFonts w:ascii="Century Gothic" w:hAnsi="Century Gothic"/>
          <w:color w:val="auto"/>
          <w:sz w:val="22"/>
          <w:szCs w:val="22"/>
        </w:rPr>
      </w:pPr>
      <w:r w:rsidRPr="007B7523">
        <w:rPr>
          <w:rFonts w:ascii="Century Gothic" w:hAnsi="Century Gothic"/>
          <w:color w:val="auto"/>
          <w:sz w:val="22"/>
          <w:szCs w:val="22"/>
        </w:rPr>
        <w:t xml:space="preserve">Se realizaron diferentes análisis de tendencias para plasmar las gestiones de </w:t>
      </w:r>
      <w:r w:rsidRPr="007B7523">
        <w:rPr>
          <w:rFonts w:ascii="Century Gothic" w:hAnsi="Century Gothic" w:cs="Tahoma"/>
          <w:sz w:val="22"/>
          <w:szCs w:val="22"/>
          <w:lang w:val="es-MX"/>
        </w:rPr>
        <w:t>cobro para los periodos 2017, 2018, 2019 y 2020 considerando</w:t>
      </w:r>
      <w:r w:rsidRPr="007B7523">
        <w:rPr>
          <w:rFonts w:ascii="Century Gothic" w:hAnsi="Century Gothic"/>
          <w:color w:val="auto"/>
          <w:sz w:val="22"/>
          <w:szCs w:val="22"/>
        </w:rPr>
        <w:t xml:space="preserve">: Cantidad de Instituciones, Cartera clasificada por rango de días de morosidad, cantidad de cobros y arreglos de pago efectuados, recuperación de cuotas atrasadas, estableciendo entre otros: </w:t>
      </w:r>
    </w:p>
    <w:p w14:paraId="53BCD15A" w14:textId="77777777" w:rsidR="00BF4D71" w:rsidRPr="007B7523" w:rsidRDefault="00BF4D71" w:rsidP="00BF4D71">
      <w:pPr>
        <w:pStyle w:val="Textoindependiente"/>
        <w:ind w:left="993" w:right="266"/>
        <w:rPr>
          <w:rFonts w:ascii="Century Gothic" w:hAnsi="Century Gothic"/>
          <w:color w:val="auto"/>
          <w:sz w:val="22"/>
          <w:szCs w:val="22"/>
        </w:rPr>
      </w:pPr>
    </w:p>
    <w:p w14:paraId="0DB83F44" w14:textId="77777777" w:rsidR="00BF4D71" w:rsidRPr="007B7523" w:rsidRDefault="00BF4D71" w:rsidP="00BF4D71">
      <w:pPr>
        <w:pStyle w:val="Textoindependiente"/>
        <w:numPr>
          <w:ilvl w:val="0"/>
          <w:numId w:val="22"/>
        </w:numPr>
        <w:ind w:left="1276" w:right="266" w:hanging="283"/>
        <w:rPr>
          <w:rFonts w:ascii="Century Gothic" w:hAnsi="Century Gothic"/>
          <w:color w:val="auto"/>
          <w:sz w:val="22"/>
          <w:szCs w:val="22"/>
          <w:lang w:val="es-CR"/>
        </w:rPr>
      </w:pPr>
      <w:r w:rsidRPr="007B7523">
        <w:rPr>
          <w:rFonts w:ascii="Century Gothic" w:hAnsi="Century Gothic"/>
          <w:color w:val="auto"/>
          <w:sz w:val="22"/>
          <w:szCs w:val="22"/>
        </w:rPr>
        <w:t>Las transgresiones con financiamiento en cobro judicial se mantienen igual desde el 2017 y corresponden al mismo caso:  Centro Educativo ‘Saint John Vianney’.</w:t>
      </w:r>
    </w:p>
    <w:p w14:paraId="705FD7CF" w14:textId="77777777" w:rsidR="00BF4D71" w:rsidRPr="007B7523" w:rsidRDefault="00BF4D71" w:rsidP="00BF4D71">
      <w:pPr>
        <w:pStyle w:val="Prrafodelista"/>
        <w:ind w:left="1276" w:hanging="283"/>
        <w:jc w:val="both"/>
        <w:rPr>
          <w:rFonts w:ascii="Century Gothic" w:hAnsi="Century Gothic"/>
          <w:bCs/>
          <w:sz w:val="22"/>
          <w:szCs w:val="22"/>
        </w:rPr>
      </w:pPr>
    </w:p>
    <w:p w14:paraId="27E724AD" w14:textId="77777777" w:rsidR="00BF4D71" w:rsidRPr="007B7523" w:rsidRDefault="00BF4D71" w:rsidP="00BF4D71">
      <w:pPr>
        <w:pStyle w:val="Textoindependiente"/>
        <w:numPr>
          <w:ilvl w:val="0"/>
          <w:numId w:val="22"/>
        </w:numPr>
        <w:ind w:left="1276" w:right="266" w:hanging="283"/>
        <w:rPr>
          <w:rFonts w:ascii="Century Gothic" w:hAnsi="Century Gothic"/>
        </w:rPr>
      </w:pPr>
      <w:r w:rsidRPr="007B7523">
        <w:rPr>
          <w:rFonts w:ascii="Century Gothic" w:hAnsi="Century Gothic"/>
          <w:color w:val="auto"/>
          <w:sz w:val="22"/>
          <w:szCs w:val="22"/>
        </w:rPr>
        <w:t>La mayor cantidad de casos de prevención, se observan en el 2018 y 2019. En el año 2020 se muestra una menor cantidad, debido a que contempla sólo cuatro meses; sin embargo, estos representan un 45% de los existentes en el periodo anterior y de continuar ese comportamiento, se puede proyectar un alza en la cantidad de casos con respecto al año anterior.</w:t>
      </w:r>
    </w:p>
    <w:p w14:paraId="6976B9B7" w14:textId="77777777" w:rsidR="00BF4D71" w:rsidRPr="007B7523" w:rsidRDefault="00BF4D71" w:rsidP="00BF4D71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0ABF9C84" w14:textId="77777777" w:rsidR="00BF4D71" w:rsidRPr="007B7523" w:rsidRDefault="00BF4D71" w:rsidP="00BF4D71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Est</w:t>
      </w:r>
      <w:r>
        <w:rPr>
          <w:rFonts w:ascii="Century Gothic" w:hAnsi="Century Gothic"/>
        </w:rPr>
        <w:t xml:space="preserve">a revisión </w:t>
      </w:r>
      <w:r w:rsidRPr="007B7523">
        <w:rPr>
          <w:rFonts w:ascii="Century Gothic" w:hAnsi="Century Gothic"/>
        </w:rPr>
        <w:t>se aprobó en la Sesión Ordinaria No. 118-2020 del 19/10/2020</w:t>
      </w:r>
      <w:r>
        <w:rPr>
          <w:rFonts w:ascii="Century Gothic" w:hAnsi="Century Gothic"/>
        </w:rPr>
        <w:t>.</w:t>
      </w:r>
    </w:p>
    <w:p w14:paraId="73E4312B" w14:textId="77777777" w:rsidR="00BF4D71" w:rsidRPr="007B7523" w:rsidRDefault="00BF4D71" w:rsidP="00BF4D71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143F27D3" w14:textId="4AFFA20F" w:rsidR="00BF4D71" w:rsidRDefault="00BF4D71" w:rsidP="00BF4D71">
      <w:pPr>
        <w:rPr>
          <w:rFonts w:ascii="Century Gothic" w:hAnsi="Century Gothic"/>
          <w:b/>
        </w:rPr>
      </w:pPr>
    </w:p>
    <w:sectPr w:rsidR="00BF4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9F5FA2"/>
    <w:rsid w:val="00AF5E9E"/>
    <w:rsid w:val="00B05CAA"/>
    <w:rsid w:val="00B43030"/>
    <w:rsid w:val="00B638C3"/>
    <w:rsid w:val="00BF4D71"/>
    <w:rsid w:val="00C24661"/>
    <w:rsid w:val="00C30A43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