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6F784" w14:textId="77777777" w:rsidR="00EC7B4B" w:rsidRPr="0063209C" w:rsidRDefault="00EC7B4B" w:rsidP="00EC7B4B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  <w:r w:rsidRPr="0063209C">
        <w:rPr>
          <w:rFonts w:ascii="Century Gothic" w:hAnsi="Century Gothic"/>
          <w:b/>
          <w:color w:val="000080"/>
        </w:rPr>
        <w:t xml:space="preserve">Estudio No. 20-2020 </w:t>
      </w:r>
    </w:p>
    <w:p w14:paraId="74925047" w14:textId="77777777" w:rsidR="00EC7B4B" w:rsidRPr="0063209C" w:rsidRDefault="00EC7B4B" w:rsidP="00EC7B4B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  <w:r w:rsidRPr="0063209C">
        <w:rPr>
          <w:rFonts w:ascii="Century Gothic" w:hAnsi="Century Gothic"/>
          <w:b/>
          <w:color w:val="000080"/>
        </w:rPr>
        <w:t>Revisión de los Estados Financieros trimestrales del RCC al 30/06/2020</w:t>
      </w:r>
    </w:p>
    <w:p w14:paraId="2C1E9F04" w14:textId="77777777" w:rsidR="00EC7B4B" w:rsidRPr="0063209C" w:rsidRDefault="00EC7B4B" w:rsidP="00EC7B4B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</w:p>
    <w:p w14:paraId="2DC73399" w14:textId="77777777" w:rsidR="00EC7B4B" w:rsidRDefault="00EC7B4B" w:rsidP="00EC7B4B">
      <w:p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  <w:color w:val="000080"/>
        </w:rPr>
      </w:pPr>
    </w:p>
    <w:p w14:paraId="4E133193" w14:textId="77777777" w:rsidR="00EC7B4B" w:rsidRPr="007B7523" w:rsidRDefault="00EC7B4B" w:rsidP="00EC7B4B">
      <w:p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Alcance</w:t>
      </w:r>
    </w:p>
    <w:p w14:paraId="5161A8B2" w14:textId="77777777" w:rsidR="00EC7B4B" w:rsidRPr="007B7523" w:rsidRDefault="00EC7B4B" w:rsidP="00EC7B4B">
      <w:pPr>
        <w:pStyle w:val="Ttulo4"/>
        <w:spacing w:before="0"/>
        <w:jc w:val="both"/>
        <w:rPr>
          <w:rFonts w:ascii="Century Gothic" w:hAnsi="Century Gothic"/>
          <w:i w:val="0"/>
          <w:iCs w:val="0"/>
          <w:color w:val="auto"/>
          <w:sz w:val="22"/>
          <w:szCs w:val="22"/>
        </w:rPr>
      </w:pPr>
      <w:r w:rsidRPr="007B7523">
        <w:rPr>
          <w:rFonts w:ascii="Century Gothic" w:hAnsi="Century Gothic"/>
          <w:i w:val="0"/>
          <w:iCs w:val="0"/>
          <w:color w:val="auto"/>
          <w:sz w:val="22"/>
          <w:szCs w:val="22"/>
        </w:rPr>
        <w:t>La revisión comprende la validación de los saldos mostrados en los Estados Financieros del Régimen de Capitalización Colectiva, para el período terminado al 30 de junio de 2020.</w:t>
      </w:r>
    </w:p>
    <w:p w14:paraId="2A919BC4" w14:textId="77777777" w:rsidR="00EC7B4B" w:rsidRDefault="00EC7B4B" w:rsidP="00EC7B4B">
      <w:pPr>
        <w:spacing w:after="0" w:line="240" w:lineRule="auto"/>
        <w:rPr>
          <w:rFonts w:ascii="Century Gothic" w:hAnsi="Century Gothic"/>
        </w:rPr>
      </w:pPr>
    </w:p>
    <w:p w14:paraId="2F1185A5" w14:textId="77777777" w:rsidR="00EC7B4B" w:rsidRPr="007B7523" w:rsidRDefault="00EC7B4B" w:rsidP="00EC7B4B">
      <w:pPr>
        <w:spacing w:after="0" w:line="240" w:lineRule="auto"/>
        <w:rPr>
          <w:rFonts w:ascii="Century Gothic" w:hAnsi="Century Gothic"/>
        </w:rPr>
      </w:pPr>
    </w:p>
    <w:p w14:paraId="4E40E3CE" w14:textId="77777777" w:rsidR="00EC7B4B" w:rsidRPr="007B7523" w:rsidRDefault="00EC7B4B" w:rsidP="00EC7B4B">
      <w:p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Objetivos</w:t>
      </w:r>
    </w:p>
    <w:p w14:paraId="2A704003" w14:textId="77777777" w:rsidR="00EC7B4B" w:rsidRPr="007B7523" w:rsidRDefault="00EC7B4B" w:rsidP="00EC7B4B">
      <w:pPr>
        <w:pStyle w:val="Textoindependiente"/>
        <w:rPr>
          <w:rFonts w:ascii="Century Gothic" w:hAnsi="Century Gothic" w:cs="Times New Roman"/>
          <w:color w:val="auto"/>
          <w:sz w:val="22"/>
          <w:szCs w:val="22"/>
        </w:rPr>
      </w:pPr>
      <w:r w:rsidRPr="007B7523">
        <w:rPr>
          <w:rFonts w:ascii="Century Gothic" w:hAnsi="Century Gothic" w:cs="Times New Roman"/>
          <w:color w:val="auto"/>
          <w:sz w:val="22"/>
          <w:szCs w:val="22"/>
        </w:rPr>
        <w:t>Para efectuar esta revisión, se definieron los siguientes objetivos:</w:t>
      </w:r>
    </w:p>
    <w:p w14:paraId="2F547554" w14:textId="77777777" w:rsidR="00EC7B4B" w:rsidRPr="007B7523" w:rsidRDefault="00EC7B4B" w:rsidP="00EC7B4B">
      <w:pPr>
        <w:spacing w:after="0" w:line="240" w:lineRule="auto"/>
        <w:jc w:val="both"/>
        <w:rPr>
          <w:rFonts w:ascii="Century Gothic" w:hAnsi="Century Gothic"/>
          <w:b/>
          <w:color w:val="000080"/>
          <w:sz w:val="16"/>
        </w:rPr>
      </w:pPr>
    </w:p>
    <w:p w14:paraId="5625E0DF" w14:textId="77777777" w:rsidR="00EC7B4B" w:rsidRPr="007B7523" w:rsidRDefault="00EC7B4B" w:rsidP="00EC7B4B">
      <w:pPr>
        <w:pStyle w:val="Textoindependiente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7B7523">
        <w:rPr>
          <w:rFonts w:ascii="Century Gothic" w:hAnsi="Century Gothic"/>
          <w:sz w:val="22"/>
          <w:szCs w:val="22"/>
        </w:rPr>
        <w:t>Validar el registro contable de las transacciones reflejadas en los Estados Financieros del RCC, al 30/06/2020.</w:t>
      </w:r>
    </w:p>
    <w:p w14:paraId="06309E30" w14:textId="77777777" w:rsidR="00EC7B4B" w:rsidRPr="007B7523" w:rsidRDefault="00EC7B4B" w:rsidP="00EC7B4B">
      <w:pPr>
        <w:pStyle w:val="Textoindependiente"/>
        <w:rPr>
          <w:rFonts w:ascii="Century Gothic" w:hAnsi="Century Gothic" w:cs="Times New Roman"/>
          <w:color w:val="auto"/>
          <w:sz w:val="16"/>
          <w:szCs w:val="22"/>
        </w:rPr>
      </w:pPr>
    </w:p>
    <w:p w14:paraId="12313C61" w14:textId="77777777" w:rsidR="00EC7B4B" w:rsidRPr="007B7523" w:rsidRDefault="00EC7B4B" w:rsidP="00EC7B4B">
      <w:pPr>
        <w:pStyle w:val="Textoindependiente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7B7523">
        <w:rPr>
          <w:rFonts w:ascii="Century Gothic" w:hAnsi="Century Gothic"/>
          <w:sz w:val="22"/>
          <w:szCs w:val="22"/>
        </w:rPr>
        <w:t>Revisar el cumplimiento de la normativa vigente, en los aspectos relacionados con el tema bajo estudio.</w:t>
      </w:r>
    </w:p>
    <w:p w14:paraId="05E61DC6" w14:textId="77777777" w:rsidR="00EC7B4B" w:rsidRDefault="00EC7B4B" w:rsidP="00EC7B4B">
      <w:pPr>
        <w:spacing w:after="0" w:line="240" w:lineRule="auto"/>
        <w:jc w:val="center"/>
        <w:rPr>
          <w:rFonts w:ascii="Century Gothic" w:hAnsi="Century Gothic"/>
          <w:b/>
          <w:lang w:val="es-ES"/>
        </w:rPr>
      </w:pPr>
    </w:p>
    <w:p w14:paraId="6810E1CF" w14:textId="77777777" w:rsidR="00EC7B4B" w:rsidRPr="007B7523" w:rsidRDefault="00EC7B4B" w:rsidP="00EC7B4B">
      <w:pPr>
        <w:spacing w:after="0" w:line="240" w:lineRule="auto"/>
        <w:jc w:val="center"/>
        <w:rPr>
          <w:rFonts w:ascii="Century Gothic" w:hAnsi="Century Gothic"/>
          <w:b/>
          <w:lang w:val="es-ES"/>
        </w:rPr>
      </w:pPr>
    </w:p>
    <w:p w14:paraId="6AB3BAD5" w14:textId="77777777" w:rsidR="00EC7B4B" w:rsidRPr="007B7523" w:rsidRDefault="00EC7B4B" w:rsidP="00EC7B4B">
      <w:pPr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Resultados obtenidos</w:t>
      </w:r>
    </w:p>
    <w:p w14:paraId="0C136828" w14:textId="77777777" w:rsidR="00EC7B4B" w:rsidRPr="007B7523" w:rsidRDefault="00EC7B4B" w:rsidP="00EC7B4B">
      <w:pPr>
        <w:pStyle w:val="Textoindependiente"/>
        <w:ind w:right="49"/>
        <w:rPr>
          <w:rFonts w:ascii="Century Gothic" w:hAnsi="Century Gothic" w:cs="Times New Roman"/>
          <w:color w:val="auto"/>
          <w:sz w:val="22"/>
          <w:szCs w:val="22"/>
        </w:rPr>
      </w:pPr>
      <w:r w:rsidRPr="007B7523">
        <w:rPr>
          <w:rFonts w:ascii="Century Gothic" w:hAnsi="Century Gothic" w:cs="Times New Roman"/>
          <w:color w:val="auto"/>
          <w:sz w:val="22"/>
          <w:szCs w:val="22"/>
        </w:rPr>
        <w:t xml:space="preserve">De conformidad con los objetivos propuestos para esta revisión, se concluye lo siguiente: </w:t>
      </w:r>
    </w:p>
    <w:p w14:paraId="5F8F73C9" w14:textId="77777777" w:rsidR="00EC7B4B" w:rsidRPr="007B7523" w:rsidRDefault="00EC7B4B" w:rsidP="00EC7B4B">
      <w:pPr>
        <w:pStyle w:val="Textoindependiente"/>
        <w:ind w:right="49"/>
        <w:rPr>
          <w:rFonts w:ascii="Century Gothic" w:hAnsi="Century Gothic" w:cs="Times New Roman"/>
          <w:color w:val="auto"/>
          <w:sz w:val="16"/>
          <w:szCs w:val="16"/>
        </w:rPr>
      </w:pPr>
    </w:p>
    <w:p w14:paraId="1D59DB23" w14:textId="77777777" w:rsidR="00EC7B4B" w:rsidRPr="007B7523" w:rsidRDefault="00EC7B4B" w:rsidP="00EC7B4B">
      <w:pPr>
        <w:pStyle w:val="Textoindependiente"/>
        <w:numPr>
          <w:ilvl w:val="0"/>
          <w:numId w:val="2"/>
        </w:numPr>
        <w:ind w:left="720" w:right="49"/>
        <w:rPr>
          <w:rFonts w:ascii="Century Gothic" w:hAnsi="Century Gothic" w:cs="Times New Roman"/>
          <w:color w:val="auto"/>
          <w:sz w:val="22"/>
          <w:szCs w:val="22"/>
        </w:rPr>
      </w:pPr>
      <w:r w:rsidRPr="007B7523">
        <w:rPr>
          <w:rFonts w:ascii="Century Gothic" w:hAnsi="Century Gothic" w:cs="Times New Roman"/>
          <w:color w:val="auto"/>
          <w:sz w:val="22"/>
          <w:szCs w:val="22"/>
        </w:rPr>
        <w:t xml:space="preserve">Se validaron las cifras de los Estados Financieros del RCC al 30/06/2020.  </w:t>
      </w:r>
    </w:p>
    <w:p w14:paraId="1B387D86" w14:textId="77777777" w:rsidR="00EC7B4B" w:rsidRPr="007B7523" w:rsidRDefault="00EC7B4B" w:rsidP="00EC7B4B">
      <w:pPr>
        <w:pStyle w:val="Prrafodelista"/>
        <w:rPr>
          <w:rFonts w:ascii="Century Gothic" w:hAnsi="Century Gothic"/>
          <w:sz w:val="16"/>
          <w:szCs w:val="16"/>
        </w:rPr>
      </w:pPr>
    </w:p>
    <w:p w14:paraId="61342CCF" w14:textId="77777777" w:rsidR="00EC7B4B" w:rsidRPr="007B7523" w:rsidRDefault="00EC7B4B" w:rsidP="00EC7B4B">
      <w:pPr>
        <w:pStyle w:val="Textoindependiente"/>
        <w:numPr>
          <w:ilvl w:val="0"/>
          <w:numId w:val="2"/>
        </w:numPr>
        <w:ind w:left="720" w:right="49"/>
        <w:rPr>
          <w:rFonts w:ascii="Century Gothic" w:hAnsi="Century Gothic" w:cs="Times New Roman"/>
          <w:color w:val="auto"/>
          <w:sz w:val="22"/>
          <w:szCs w:val="22"/>
        </w:rPr>
      </w:pPr>
      <w:r w:rsidRPr="007B7523">
        <w:rPr>
          <w:rFonts w:ascii="Century Gothic" w:hAnsi="Century Gothic" w:cs="Times New Roman"/>
          <w:color w:val="auto"/>
          <w:sz w:val="22"/>
          <w:szCs w:val="22"/>
        </w:rPr>
        <w:t xml:space="preserve">Se firmaron los Estados Financieros del RCC al 30/06/2020 para el envío a la SUPEN, mediante el oficio </w:t>
      </w:r>
      <w:r w:rsidRPr="007B7523">
        <w:rPr>
          <w:rFonts w:ascii="Century Gothic" w:hAnsi="Century Gothic" w:cs="Times New Roman"/>
          <w:color w:val="auto"/>
          <w:sz w:val="22"/>
          <w:szCs w:val="22"/>
          <w:lang w:val="es-CR"/>
        </w:rPr>
        <w:t xml:space="preserve">AI-0536-07-2020 </w:t>
      </w:r>
      <w:r w:rsidRPr="007B7523">
        <w:rPr>
          <w:rFonts w:ascii="Century Gothic" w:hAnsi="Century Gothic" w:cs="Times New Roman"/>
          <w:color w:val="auto"/>
          <w:sz w:val="22"/>
          <w:szCs w:val="22"/>
        </w:rPr>
        <w:t xml:space="preserve">del 30/06/2020, con lo cual se da cumplimiento al </w:t>
      </w:r>
      <w:r w:rsidRPr="007B7523">
        <w:rPr>
          <w:rFonts w:ascii="Century Gothic" w:hAnsi="Century Gothic"/>
          <w:sz w:val="22"/>
          <w:szCs w:val="22"/>
        </w:rPr>
        <w:t>Reglamento de Información Financiera</w:t>
      </w:r>
      <w:r w:rsidRPr="007B7523">
        <w:rPr>
          <w:rFonts w:ascii="Century Gothic" w:hAnsi="Century Gothic" w:cs="Times New Roman"/>
          <w:color w:val="auto"/>
          <w:sz w:val="22"/>
          <w:szCs w:val="22"/>
        </w:rPr>
        <w:t xml:space="preserve"> artículos Nos. 18, 30 y 36; así como del artículo No.2 del documento SP-A-211-2019 del 09/09/2019</w:t>
      </w:r>
      <w:r w:rsidRPr="007B7523">
        <w:rPr>
          <w:rFonts w:ascii="Century Gothic" w:hAnsi="Century Gothic"/>
          <w:sz w:val="22"/>
          <w:szCs w:val="22"/>
        </w:rPr>
        <w:t>.</w:t>
      </w:r>
      <w:r w:rsidRPr="007B7523">
        <w:rPr>
          <w:rFonts w:ascii="Century Gothic" w:hAnsi="Century Gothic" w:cs="Times New Roman"/>
          <w:color w:val="auto"/>
          <w:sz w:val="22"/>
          <w:szCs w:val="22"/>
        </w:rPr>
        <w:t xml:space="preserve"> </w:t>
      </w:r>
    </w:p>
    <w:p w14:paraId="29A7E4B5" w14:textId="77777777" w:rsidR="00EC7B4B" w:rsidRPr="007B7523" w:rsidRDefault="00EC7B4B" w:rsidP="00EC7B4B">
      <w:pPr>
        <w:pStyle w:val="Prrafodelista"/>
        <w:rPr>
          <w:rFonts w:ascii="Century Gothic" w:hAnsi="Century Gothic"/>
          <w:sz w:val="16"/>
          <w:szCs w:val="16"/>
        </w:rPr>
      </w:pPr>
    </w:p>
    <w:p w14:paraId="28FDAFA0" w14:textId="77777777" w:rsidR="00EC7B4B" w:rsidRPr="007B7523" w:rsidRDefault="00EC7B4B" w:rsidP="00EC7B4B">
      <w:pPr>
        <w:pStyle w:val="Textoindependiente"/>
        <w:numPr>
          <w:ilvl w:val="0"/>
          <w:numId w:val="2"/>
        </w:numPr>
        <w:ind w:left="720" w:right="49"/>
        <w:rPr>
          <w:rFonts w:ascii="Century Gothic" w:hAnsi="Century Gothic" w:cs="Times New Roman"/>
          <w:color w:val="auto"/>
          <w:sz w:val="22"/>
          <w:szCs w:val="22"/>
        </w:rPr>
      </w:pPr>
      <w:r w:rsidRPr="007B7523">
        <w:rPr>
          <w:rFonts w:ascii="Century Gothic" w:hAnsi="Century Gothic" w:cs="Times New Roman"/>
          <w:color w:val="auto"/>
          <w:sz w:val="22"/>
          <w:szCs w:val="22"/>
        </w:rPr>
        <w:t>Se revisó el cumplimiento de la normativa relacionada con el tema en estudio, observándose que la presentación del Estado Financiero de ‘Cambios en el Patrimonio’, no estaba acorde a lo dispuesto en el SP-A-211-2019 y lo contenido en la NIC 1, situación se comunicada mediante el oficio AI-SEG-0534-07-2020 el 29/07/2020</w:t>
      </w:r>
      <w:r w:rsidRPr="007B7523" w:rsidDel="00641B7A">
        <w:rPr>
          <w:rFonts w:ascii="Century Gothic" w:hAnsi="Century Gothic" w:cs="Times New Roman"/>
          <w:color w:val="auto"/>
          <w:sz w:val="22"/>
          <w:szCs w:val="22"/>
        </w:rPr>
        <w:t xml:space="preserve"> </w:t>
      </w:r>
      <w:r w:rsidRPr="007B7523">
        <w:rPr>
          <w:rFonts w:ascii="Century Gothic" w:hAnsi="Century Gothic" w:cs="Times New Roman"/>
          <w:color w:val="auto"/>
          <w:sz w:val="22"/>
          <w:szCs w:val="22"/>
        </w:rPr>
        <w:t>y corregida oportunamente por la Administración.</w:t>
      </w:r>
    </w:p>
    <w:p w14:paraId="2747459F" w14:textId="77777777" w:rsidR="00EC7B4B" w:rsidRPr="007B7523" w:rsidRDefault="00EC7B4B" w:rsidP="00EC7B4B">
      <w:pPr>
        <w:spacing w:after="0" w:line="240" w:lineRule="auto"/>
        <w:jc w:val="center"/>
        <w:rPr>
          <w:rFonts w:ascii="Century Gothic" w:hAnsi="Century Gothic"/>
          <w:b/>
          <w:lang w:val="es-ES"/>
        </w:rPr>
      </w:pPr>
    </w:p>
    <w:p w14:paraId="7446BCF3" w14:textId="77777777" w:rsidR="00EC7B4B" w:rsidRPr="007B7523" w:rsidRDefault="00EC7B4B" w:rsidP="00EC7B4B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estudio</w:t>
      </w:r>
      <w:r w:rsidRPr="007B7523">
        <w:rPr>
          <w:rFonts w:ascii="Century Gothic" w:hAnsi="Century Gothic"/>
        </w:rPr>
        <w:t xml:space="preserve"> se aprobó en la Sesión Ordinaria No. 111-2020 del 06/10/2020</w:t>
      </w:r>
      <w:r>
        <w:rPr>
          <w:rFonts w:ascii="Century Gothic" w:hAnsi="Century Gothic"/>
        </w:rPr>
        <w:t>.</w:t>
      </w:r>
    </w:p>
    <w:p w14:paraId="58CBAE76" w14:textId="77777777" w:rsidR="00EC7B4B" w:rsidRPr="007B7523" w:rsidRDefault="00EC7B4B" w:rsidP="00EC7B4B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18F0CC32" w14:textId="64FFA77E" w:rsidR="00EC7B4B" w:rsidRDefault="00EC7B4B" w:rsidP="00EC7B4B">
      <w:pPr>
        <w:rPr>
          <w:rFonts w:ascii="Century Gothic" w:hAnsi="Century Gothic"/>
          <w:b/>
        </w:rPr>
      </w:pPr>
    </w:p>
    <w:sectPr w:rsidR="00EC7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246F07"/>
    <w:rsid w:val="00302B34"/>
    <w:rsid w:val="003128FC"/>
    <w:rsid w:val="00456729"/>
    <w:rsid w:val="00492323"/>
    <w:rsid w:val="0063209C"/>
    <w:rsid w:val="007A6F11"/>
    <w:rsid w:val="007B2AEE"/>
    <w:rsid w:val="007B7523"/>
    <w:rsid w:val="008C13C6"/>
    <w:rsid w:val="00961BB8"/>
    <w:rsid w:val="009F5FA2"/>
    <w:rsid w:val="00AF5E9E"/>
    <w:rsid w:val="00B05CAA"/>
    <w:rsid w:val="00B43030"/>
    <w:rsid w:val="00B638C3"/>
    <w:rsid w:val="00C24661"/>
    <w:rsid w:val="00C30A43"/>
    <w:rsid w:val="00D20022"/>
    <w:rsid w:val="00D57B72"/>
    <w:rsid w:val="00DB137A"/>
    <w:rsid w:val="00DD7935"/>
    <w:rsid w:val="00E45D3B"/>
    <w:rsid w:val="00EC7B4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